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06EA" w14:textId="78D838D7" w:rsidR="007155E1" w:rsidRPr="008D0BE0" w:rsidRDefault="007155E1" w:rsidP="007155E1">
      <w:pPr>
        <w:jc w:val="center"/>
        <w:rPr>
          <w:rFonts w:ascii="Century Schoolbook" w:hAnsi="Century Schoolbook"/>
        </w:rPr>
      </w:pPr>
    </w:p>
    <w:p w14:paraId="1A097FAD" w14:textId="77777777" w:rsidR="007155E1" w:rsidRPr="008D0BE0" w:rsidRDefault="007155E1" w:rsidP="007155E1">
      <w:pPr>
        <w:jc w:val="center"/>
        <w:rPr>
          <w:rFonts w:ascii="Century Schoolbook" w:hAnsi="Century Schoolbook"/>
        </w:rPr>
      </w:pPr>
    </w:p>
    <w:p w14:paraId="3526F854" w14:textId="77777777" w:rsidR="007155E1" w:rsidRPr="008D0BE0" w:rsidRDefault="007155E1" w:rsidP="007155E1">
      <w:pPr>
        <w:jc w:val="center"/>
        <w:rPr>
          <w:rFonts w:ascii="Century Schoolbook" w:hAnsi="Century Schoolbook"/>
          <w:spacing w:val="120"/>
          <w:sz w:val="28"/>
          <w:szCs w:val="28"/>
        </w:rPr>
      </w:pPr>
      <w:r w:rsidRPr="008D0BE0">
        <w:rPr>
          <w:rFonts w:ascii="Century Schoolbook" w:hAnsi="Century Schoolbook"/>
          <w:spacing w:val="120"/>
          <w:sz w:val="28"/>
          <w:szCs w:val="28"/>
        </w:rPr>
        <w:t>MEMORANDUM</w:t>
      </w:r>
    </w:p>
    <w:p w14:paraId="331186A2" w14:textId="77777777" w:rsidR="007155E1" w:rsidRPr="008D0BE0" w:rsidRDefault="007155E1" w:rsidP="007155E1">
      <w:pPr>
        <w:jc w:val="center"/>
        <w:rPr>
          <w:rFonts w:ascii="Century Schoolbook" w:hAnsi="Century Schoolbook"/>
          <w:spacing w:val="120"/>
          <w:sz w:val="28"/>
          <w:szCs w:val="28"/>
        </w:rPr>
      </w:pPr>
    </w:p>
    <w:p w14:paraId="4266BFB5" w14:textId="5B9BD0D2" w:rsidR="007155E1" w:rsidRPr="008D0BE0" w:rsidRDefault="007155E1" w:rsidP="007155E1">
      <w:pPr>
        <w:spacing w:line="360" w:lineRule="auto"/>
        <w:rPr>
          <w:rFonts w:ascii="Century Schoolbook" w:hAnsi="Century Schoolbook"/>
          <w:sz w:val="23"/>
          <w:szCs w:val="23"/>
        </w:rPr>
      </w:pPr>
      <w:r w:rsidRPr="008D0BE0">
        <w:rPr>
          <w:rFonts w:ascii="Century Schoolbook" w:hAnsi="Century Schoolbook"/>
          <w:sz w:val="23"/>
          <w:szCs w:val="23"/>
        </w:rPr>
        <w:t xml:space="preserve">To: </w:t>
      </w:r>
      <w:r w:rsidR="000A5D18">
        <w:rPr>
          <w:rFonts w:ascii="Century Schoolbook" w:hAnsi="Century Schoolbook"/>
          <w:sz w:val="23"/>
          <w:szCs w:val="23"/>
        </w:rPr>
        <w:tab/>
      </w:r>
      <w:r w:rsidR="000A5D18">
        <w:rPr>
          <w:rFonts w:ascii="Century Schoolbook" w:hAnsi="Century Schoolbook"/>
          <w:sz w:val="23"/>
          <w:szCs w:val="23"/>
        </w:rPr>
        <w:tab/>
        <w:t>Yellow Jacket Water Conservancy Board of Directors</w:t>
      </w:r>
    </w:p>
    <w:p w14:paraId="7AD547D6" w14:textId="05F6C4E6" w:rsidR="007155E1" w:rsidRPr="008D0BE0" w:rsidRDefault="007155E1" w:rsidP="007155E1">
      <w:pPr>
        <w:spacing w:line="360" w:lineRule="auto"/>
        <w:rPr>
          <w:rFonts w:ascii="Century Schoolbook" w:hAnsi="Century Schoolbook"/>
          <w:sz w:val="23"/>
          <w:szCs w:val="23"/>
        </w:rPr>
      </w:pPr>
      <w:r w:rsidRPr="008D0BE0">
        <w:rPr>
          <w:rFonts w:ascii="Century Schoolbook" w:hAnsi="Century Schoolbook"/>
          <w:sz w:val="23"/>
          <w:szCs w:val="23"/>
        </w:rPr>
        <w:t xml:space="preserve">From: </w:t>
      </w:r>
      <w:r w:rsidR="00414FE2">
        <w:rPr>
          <w:rFonts w:ascii="Century Schoolbook" w:hAnsi="Century Schoolbook"/>
          <w:sz w:val="23"/>
          <w:szCs w:val="23"/>
        </w:rPr>
        <w:tab/>
      </w:r>
      <w:r w:rsidR="00414FE2">
        <w:rPr>
          <w:rFonts w:ascii="Century Schoolbook" w:hAnsi="Century Schoolbook"/>
          <w:sz w:val="23"/>
          <w:szCs w:val="23"/>
        </w:rPr>
        <w:tab/>
        <w:t>Scott Grosscup</w:t>
      </w:r>
    </w:p>
    <w:p w14:paraId="6331C8B6" w14:textId="25BC2CBE" w:rsidR="007155E1" w:rsidRPr="008D0BE0" w:rsidRDefault="007155E1" w:rsidP="007155E1">
      <w:pPr>
        <w:spacing w:line="360" w:lineRule="auto"/>
        <w:rPr>
          <w:rFonts w:ascii="Century Schoolbook" w:hAnsi="Century Schoolbook"/>
          <w:sz w:val="23"/>
          <w:szCs w:val="23"/>
        </w:rPr>
      </w:pPr>
      <w:r w:rsidRPr="008D0BE0">
        <w:rPr>
          <w:rFonts w:ascii="Century Schoolbook" w:hAnsi="Century Schoolbook"/>
          <w:sz w:val="23"/>
          <w:szCs w:val="23"/>
        </w:rPr>
        <w:t xml:space="preserve">Date: </w:t>
      </w:r>
      <w:r w:rsidR="00414FE2">
        <w:rPr>
          <w:rFonts w:ascii="Century Schoolbook" w:hAnsi="Century Schoolbook"/>
          <w:sz w:val="23"/>
          <w:szCs w:val="23"/>
        </w:rPr>
        <w:tab/>
      </w:r>
      <w:r w:rsidR="00414FE2">
        <w:rPr>
          <w:rFonts w:ascii="Century Schoolbook" w:hAnsi="Century Schoolbook"/>
          <w:sz w:val="23"/>
          <w:szCs w:val="23"/>
        </w:rPr>
        <w:tab/>
      </w:r>
      <w:r w:rsidR="00DB28C3">
        <w:rPr>
          <w:rFonts w:ascii="Century Schoolbook" w:hAnsi="Century Schoolbook"/>
          <w:sz w:val="23"/>
          <w:szCs w:val="23"/>
        </w:rPr>
        <w:t>February 3, 2020</w:t>
      </w:r>
    </w:p>
    <w:p w14:paraId="07EDE495" w14:textId="686CA13C" w:rsidR="007155E1" w:rsidRPr="008D0BE0" w:rsidRDefault="007155E1" w:rsidP="007155E1">
      <w:pPr>
        <w:pBdr>
          <w:bottom w:val="single" w:sz="12" w:space="1" w:color="auto"/>
        </w:pBdr>
        <w:spacing w:line="360" w:lineRule="auto"/>
        <w:rPr>
          <w:rFonts w:ascii="Century Schoolbook" w:hAnsi="Century Schoolbook"/>
          <w:sz w:val="23"/>
          <w:szCs w:val="23"/>
        </w:rPr>
      </w:pPr>
      <w:r w:rsidRPr="008D0BE0">
        <w:rPr>
          <w:rFonts w:ascii="Century Schoolbook" w:hAnsi="Century Schoolbook"/>
          <w:sz w:val="23"/>
          <w:szCs w:val="23"/>
        </w:rPr>
        <w:t xml:space="preserve">Re: </w:t>
      </w:r>
      <w:r w:rsidR="00414FE2">
        <w:rPr>
          <w:rFonts w:ascii="Century Schoolbook" w:hAnsi="Century Schoolbook"/>
          <w:sz w:val="23"/>
          <w:szCs w:val="23"/>
        </w:rPr>
        <w:tab/>
      </w:r>
      <w:r w:rsidR="00414FE2">
        <w:rPr>
          <w:rFonts w:ascii="Century Schoolbook" w:hAnsi="Century Schoolbook"/>
          <w:sz w:val="23"/>
          <w:szCs w:val="23"/>
        </w:rPr>
        <w:tab/>
        <w:t>Water Rights</w:t>
      </w:r>
      <w:r w:rsidR="00414FE2">
        <w:rPr>
          <w:rFonts w:ascii="Century Schoolbook" w:hAnsi="Century Schoolbook"/>
          <w:sz w:val="23"/>
          <w:szCs w:val="23"/>
        </w:rPr>
        <w:tab/>
      </w:r>
      <w:r w:rsidR="00414FE2">
        <w:rPr>
          <w:rFonts w:ascii="Century Schoolbook" w:hAnsi="Century Schoolbook"/>
          <w:sz w:val="23"/>
          <w:szCs w:val="23"/>
        </w:rPr>
        <w:tab/>
      </w:r>
    </w:p>
    <w:p w14:paraId="4C66E246" w14:textId="77777777" w:rsidR="007155E1" w:rsidRPr="008D0BE0" w:rsidRDefault="007155E1" w:rsidP="007155E1">
      <w:pPr>
        <w:pBdr>
          <w:bottom w:val="single" w:sz="12" w:space="1" w:color="auto"/>
        </w:pBdr>
        <w:rPr>
          <w:rFonts w:ascii="Century Schoolbook" w:hAnsi="Century Schoolbook"/>
          <w:sz w:val="23"/>
          <w:szCs w:val="23"/>
        </w:rPr>
      </w:pPr>
    </w:p>
    <w:p w14:paraId="22036F79" w14:textId="77777777" w:rsidR="007155E1" w:rsidRPr="008D0BE0" w:rsidRDefault="007155E1" w:rsidP="007155E1">
      <w:pPr>
        <w:rPr>
          <w:rFonts w:ascii="Century Schoolbook" w:hAnsi="Century Schoolbook"/>
          <w:sz w:val="23"/>
          <w:szCs w:val="23"/>
        </w:rPr>
      </w:pPr>
    </w:p>
    <w:p w14:paraId="7B12C245" w14:textId="77777777" w:rsidR="00297AFD" w:rsidRPr="008D0BE0" w:rsidRDefault="00297AFD" w:rsidP="00205FA3">
      <w:pPr>
        <w:jc w:val="both"/>
        <w:rPr>
          <w:rFonts w:ascii="ZapfCalligr BT" w:hAnsi="ZapfCalligr BT"/>
          <w:sz w:val="23"/>
          <w:szCs w:val="23"/>
        </w:rPr>
      </w:pPr>
    </w:p>
    <w:p w14:paraId="17C1710B" w14:textId="77777777" w:rsidR="00414FE2" w:rsidRDefault="00414FE2" w:rsidP="00F07A9F">
      <w:pPr>
        <w:jc w:val="both"/>
        <w:rPr>
          <w:rFonts w:ascii="ZapfCalligr BT" w:hAnsi="ZapfCalligr BT"/>
          <w:sz w:val="23"/>
          <w:szCs w:val="23"/>
        </w:rPr>
      </w:pPr>
      <w:r>
        <w:rPr>
          <w:rFonts w:ascii="ZapfCalligr BT" w:hAnsi="ZapfCalligr BT"/>
          <w:sz w:val="23"/>
          <w:szCs w:val="23"/>
        </w:rPr>
        <w:t>Directors:</w:t>
      </w:r>
    </w:p>
    <w:p w14:paraId="1E0F12EF" w14:textId="77777777" w:rsidR="00414FE2" w:rsidRDefault="00414FE2" w:rsidP="00F07A9F">
      <w:pPr>
        <w:jc w:val="both"/>
        <w:rPr>
          <w:rFonts w:ascii="ZapfCalligr BT" w:hAnsi="ZapfCalligr BT"/>
          <w:sz w:val="23"/>
          <w:szCs w:val="23"/>
        </w:rPr>
      </w:pPr>
    </w:p>
    <w:p w14:paraId="64F5FB8D" w14:textId="3F0D3E14" w:rsidR="00F07A9F" w:rsidRPr="008D0BE0" w:rsidRDefault="00414FE2" w:rsidP="00F07A9F">
      <w:pPr>
        <w:jc w:val="both"/>
        <w:rPr>
          <w:rFonts w:ascii="ZapfCalligr BT" w:hAnsi="ZapfCalligr BT"/>
          <w:sz w:val="23"/>
          <w:szCs w:val="23"/>
        </w:rPr>
      </w:pPr>
      <w:r>
        <w:rPr>
          <w:rFonts w:ascii="ZapfCalligr BT" w:hAnsi="ZapfCalligr BT"/>
          <w:sz w:val="23"/>
          <w:szCs w:val="23"/>
        </w:rPr>
        <w:tab/>
        <w:t>This memorandum provides a summary of the Yellow Jacket Water Conservancy District’s remaining portfolio of conditional water rights and options that may be available for developing these water rights along with limitations.</w:t>
      </w:r>
      <w:r w:rsidR="00205FA3" w:rsidRPr="008D0BE0">
        <w:rPr>
          <w:rFonts w:ascii="ZapfCalligr BT" w:hAnsi="ZapfCalligr BT"/>
          <w:sz w:val="23"/>
          <w:szCs w:val="23"/>
        </w:rPr>
        <w:tab/>
      </w:r>
      <w:r w:rsidR="00DB28C3">
        <w:rPr>
          <w:rFonts w:ascii="ZapfCalligr BT" w:hAnsi="ZapfCalligr BT"/>
          <w:sz w:val="23"/>
          <w:szCs w:val="23"/>
        </w:rPr>
        <w:t xml:space="preserve"> </w:t>
      </w:r>
    </w:p>
    <w:p w14:paraId="66DD0004" w14:textId="77777777" w:rsidR="00205FA3" w:rsidRPr="008D0BE0" w:rsidRDefault="00205FA3" w:rsidP="00205FA3">
      <w:pPr>
        <w:rPr>
          <w:rFonts w:ascii="ZapfCalligr BT" w:hAnsi="ZapfCalligr BT" w:cs="Times New Roman"/>
          <w:sz w:val="23"/>
          <w:szCs w:val="23"/>
        </w:rPr>
      </w:pPr>
    </w:p>
    <w:p w14:paraId="4756759D" w14:textId="77777777" w:rsidR="00205FA3" w:rsidRPr="008D0BE0" w:rsidRDefault="00205FA3" w:rsidP="00205FA3">
      <w:pPr>
        <w:rPr>
          <w:rFonts w:ascii="ZapfCalligr BT" w:hAnsi="ZapfCalligr BT" w:cs="Times New Roman"/>
          <w:sz w:val="23"/>
          <w:szCs w:val="23"/>
          <w:u w:val="single"/>
        </w:rPr>
      </w:pPr>
    </w:p>
    <w:p w14:paraId="5AEAF1E8" w14:textId="04D0AE75" w:rsidR="00205FA3" w:rsidRPr="00DB28C3" w:rsidRDefault="00516879" w:rsidP="00DB28C3">
      <w:pPr>
        <w:jc w:val="center"/>
        <w:rPr>
          <w:rFonts w:ascii="ZapfCalligr BT" w:hAnsi="ZapfCalligr BT" w:cs="Times New Roman"/>
          <w:b/>
          <w:sz w:val="23"/>
          <w:szCs w:val="23"/>
        </w:rPr>
      </w:pPr>
      <w:r w:rsidRPr="00DB28C3">
        <w:rPr>
          <w:rFonts w:ascii="ZapfCalligr BT" w:hAnsi="ZapfCalligr BT" w:cs="Times New Roman"/>
          <w:b/>
          <w:sz w:val="23"/>
          <w:szCs w:val="23"/>
        </w:rPr>
        <w:t>Water Rights</w:t>
      </w:r>
      <w:r w:rsidR="00EF5D3E" w:rsidRPr="00DB28C3">
        <w:rPr>
          <w:rFonts w:ascii="ZapfCalligr BT" w:hAnsi="ZapfCalligr BT" w:cs="Times New Roman"/>
          <w:b/>
          <w:sz w:val="23"/>
          <w:szCs w:val="23"/>
        </w:rPr>
        <w:t xml:space="preserve"> and Limitations.</w:t>
      </w:r>
    </w:p>
    <w:p w14:paraId="41CCBBA3" w14:textId="040CE1C5" w:rsidR="00516879" w:rsidRDefault="00516879" w:rsidP="00205FA3">
      <w:pPr>
        <w:rPr>
          <w:rFonts w:ascii="ZapfCalligr BT" w:hAnsi="ZapfCalligr BT" w:cs="Times New Roman"/>
          <w:sz w:val="23"/>
          <w:szCs w:val="23"/>
        </w:rPr>
      </w:pPr>
    </w:p>
    <w:p w14:paraId="7D3DF07E" w14:textId="44E69867" w:rsidR="00516879" w:rsidRDefault="00516879" w:rsidP="00EF5D3E">
      <w:pPr>
        <w:ind w:firstLine="720"/>
        <w:rPr>
          <w:rFonts w:ascii="ZapfCalligr BT" w:hAnsi="ZapfCalligr BT" w:cs="Times New Roman"/>
          <w:sz w:val="23"/>
          <w:szCs w:val="23"/>
        </w:rPr>
      </w:pPr>
      <w:r>
        <w:rPr>
          <w:rFonts w:ascii="ZapfCalligr BT" w:hAnsi="ZapfCalligr BT" w:cs="Times New Roman"/>
          <w:sz w:val="23"/>
          <w:szCs w:val="23"/>
        </w:rPr>
        <w:t>The District</w:t>
      </w:r>
      <w:r w:rsidR="00EF5D3E">
        <w:rPr>
          <w:rFonts w:ascii="ZapfCalligr BT" w:hAnsi="ZapfCalligr BT" w:cs="Times New Roman"/>
          <w:sz w:val="23"/>
          <w:szCs w:val="23"/>
        </w:rPr>
        <w:t xml:space="preserve"> </w:t>
      </w:r>
      <w:r>
        <w:rPr>
          <w:rFonts w:ascii="ZapfCalligr BT" w:hAnsi="ZapfCalligr BT" w:cs="Times New Roman"/>
          <w:sz w:val="23"/>
          <w:szCs w:val="23"/>
        </w:rPr>
        <w:t>has preserved the following conditional water rights:</w:t>
      </w:r>
    </w:p>
    <w:p w14:paraId="46F55FEC" w14:textId="3C7C2961" w:rsidR="00516879" w:rsidRDefault="00516879" w:rsidP="00205FA3">
      <w:pPr>
        <w:rPr>
          <w:rFonts w:ascii="ZapfCalligr BT" w:hAnsi="ZapfCalligr BT" w:cs="Times New Roman"/>
          <w:sz w:val="23"/>
          <w:szCs w:val="23"/>
        </w:rPr>
      </w:pPr>
    </w:p>
    <w:tbl>
      <w:tblPr>
        <w:tblStyle w:val="TableGrid"/>
        <w:tblW w:w="0" w:type="auto"/>
        <w:tblLook w:val="04A0" w:firstRow="1" w:lastRow="0" w:firstColumn="1" w:lastColumn="0" w:noHBand="0" w:noVBand="1"/>
      </w:tblPr>
      <w:tblGrid>
        <w:gridCol w:w="1694"/>
        <w:gridCol w:w="1467"/>
        <w:gridCol w:w="1289"/>
        <w:gridCol w:w="1854"/>
        <w:gridCol w:w="3046"/>
      </w:tblGrid>
      <w:tr w:rsidR="00516879" w14:paraId="36A2933C" w14:textId="77777777" w:rsidTr="00EF5D3E">
        <w:tc>
          <w:tcPr>
            <w:tcW w:w="0" w:type="auto"/>
            <w:shd w:val="clear" w:color="auto" w:fill="E7E6E6" w:themeFill="background2"/>
          </w:tcPr>
          <w:p w14:paraId="1219E3CA" w14:textId="6EAFF51E" w:rsidR="00516879" w:rsidRPr="00EF5D3E" w:rsidRDefault="00516879" w:rsidP="00EF5D3E">
            <w:pPr>
              <w:rPr>
                <w:rFonts w:ascii="ZapfCalligr BT" w:hAnsi="ZapfCalligr BT" w:cs="Times New Roman"/>
                <w:b/>
                <w:sz w:val="23"/>
                <w:szCs w:val="23"/>
              </w:rPr>
            </w:pPr>
            <w:r w:rsidRPr="00EF5D3E">
              <w:rPr>
                <w:rFonts w:ascii="ZapfCalligr BT" w:hAnsi="ZapfCalligr BT" w:cs="Times New Roman"/>
                <w:b/>
                <w:sz w:val="23"/>
                <w:szCs w:val="23"/>
              </w:rPr>
              <w:t>Water Right</w:t>
            </w:r>
          </w:p>
        </w:tc>
        <w:tc>
          <w:tcPr>
            <w:tcW w:w="0" w:type="auto"/>
            <w:shd w:val="clear" w:color="auto" w:fill="E7E6E6" w:themeFill="background2"/>
          </w:tcPr>
          <w:p w14:paraId="064473E9" w14:textId="2AF4979C" w:rsidR="00516879" w:rsidRPr="00EF5D3E" w:rsidRDefault="00516879" w:rsidP="00EF5D3E">
            <w:pPr>
              <w:rPr>
                <w:rFonts w:ascii="ZapfCalligr BT" w:hAnsi="ZapfCalligr BT" w:cs="Times New Roman"/>
                <w:b/>
                <w:sz w:val="23"/>
                <w:szCs w:val="23"/>
              </w:rPr>
            </w:pPr>
            <w:r w:rsidRPr="00EF5D3E">
              <w:rPr>
                <w:rFonts w:ascii="ZapfCalligr BT" w:hAnsi="ZapfCalligr BT" w:cs="Times New Roman"/>
                <w:b/>
                <w:sz w:val="23"/>
                <w:szCs w:val="23"/>
              </w:rPr>
              <w:t>Original Decree</w:t>
            </w:r>
          </w:p>
        </w:tc>
        <w:tc>
          <w:tcPr>
            <w:tcW w:w="0" w:type="auto"/>
            <w:shd w:val="clear" w:color="auto" w:fill="E7E6E6" w:themeFill="background2"/>
          </w:tcPr>
          <w:p w14:paraId="0B1F559D" w14:textId="199639D7" w:rsidR="00516879" w:rsidRPr="00EF5D3E" w:rsidRDefault="00516879" w:rsidP="00EF5D3E">
            <w:pPr>
              <w:rPr>
                <w:rFonts w:ascii="ZapfCalligr BT" w:hAnsi="ZapfCalligr BT" w:cs="Times New Roman"/>
                <w:b/>
                <w:sz w:val="23"/>
                <w:szCs w:val="23"/>
              </w:rPr>
            </w:pPr>
            <w:r w:rsidRPr="00EF5D3E">
              <w:rPr>
                <w:rFonts w:ascii="ZapfCalligr BT" w:hAnsi="ZapfCalligr BT" w:cs="Times New Roman"/>
                <w:b/>
                <w:sz w:val="23"/>
                <w:szCs w:val="23"/>
              </w:rPr>
              <w:t>Amount</w:t>
            </w:r>
          </w:p>
        </w:tc>
        <w:tc>
          <w:tcPr>
            <w:tcW w:w="0" w:type="auto"/>
            <w:shd w:val="clear" w:color="auto" w:fill="E7E6E6" w:themeFill="background2"/>
          </w:tcPr>
          <w:p w14:paraId="4C2422B4" w14:textId="5D6EC8EA" w:rsidR="00516879" w:rsidRPr="00EF5D3E" w:rsidRDefault="00516879" w:rsidP="00EF5D3E">
            <w:pPr>
              <w:rPr>
                <w:rFonts w:ascii="ZapfCalligr BT" w:hAnsi="ZapfCalligr BT" w:cs="Times New Roman"/>
                <w:b/>
                <w:sz w:val="23"/>
                <w:szCs w:val="23"/>
              </w:rPr>
            </w:pPr>
            <w:r w:rsidRPr="00EF5D3E">
              <w:rPr>
                <w:rFonts w:ascii="ZapfCalligr BT" w:hAnsi="ZapfCalligr BT" w:cs="Times New Roman"/>
                <w:b/>
                <w:sz w:val="23"/>
                <w:szCs w:val="23"/>
              </w:rPr>
              <w:t>Appropriation date</w:t>
            </w:r>
          </w:p>
        </w:tc>
        <w:tc>
          <w:tcPr>
            <w:tcW w:w="0" w:type="auto"/>
            <w:shd w:val="clear" w:color="auto" w:fill="E7E6E6" w:themeFill="background2"/>
          </w:tcPr>
          <w:p w14:paraId="215435D9" w14:textId="58B8D1CC" w:rsidR="00516879" w:rsidRPr="00EF5D3E" w:rsidRDefault="00516879" w:rsidP="00EF5D3E">
            <w:pPr>
              <w:rPr>
                <w:rFonts w:ascii="ZapfCalligr BT" w:hAnsi="ZapfCalligr BT" w:cs="Times New Roman"/>
                <w:b/>
                <w:sz w:val="23"/>
                <w:szCs w:val="23"/>
              </w:rPr>
            </w:pPr>
            <w:r w:rsidRPr="00EF5D3E">
              <w:rPr>
                <w:rFonts w:ascii="ZapfCalligr BT" w:hAnsi="ZapfCalligr BT" w:cs="Times New Roman"/>
                <w:b/>
                <w:sz w:val="23"/>
                <w:szCs w:val="23"/>
              </w:rPr>
              <w:t>Uses</w:t>
            </w:r>
          </w:p>
        </w:tc>
      </w:tr>
      <w:tr w:rsidR="00516879" w:rsidRPr="00EF5D3E" w14:paraId="585AA646" w14:textId="77777777" w:rsidTr="00EF5D3E">
        <w:tc>
          <w:tcPr>
            <w:tcW w:w="0" w:type="auto"/>
          </w:tcPr>
          <w:p w14:paraId="15F730A1" w14:textId="6543991D"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Sawmill Mountain Reservoir</w:t>
            </w:r>
          </w:p>
        </w:tc>
        <w:tc>
          <w:tcPr>
            <w:tcW w:w="0" w:type="auto"/>
          </w:tcPr>
          <w:p w14:paraId="47113D12" w14:textId="24F08EA7"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W-3245, Sept. 29, 1977</w:t>
            </w:r>
          </w:p>
        </w:tc>
        <w:tc>
          <w:tcPr>
            <w:tcW w:w="0" w:type="auto"/>
          </w:tcPr>
          <w:p w14:paraId="7B60B84C" w14:textId="41703D89"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10,000 Acre Feet</w:t>
            </w:r>
          </w:p>
        </w:tc>
        <w:tc>
          <w:tcPr>
            <w:tcW w:w="0" w:type="auto"/>
          </w:tcPr>
          <w:p w14:paraId="488B36DE" w14:textId="2C01868C"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Oct. 7, 1976</w:t>
            </w:r>
          </w:p>
        </w:tc>
        <w:tc>
          <w:tcPr>
            <w:tcW w:w="0" w:type="auto"/>
          </w:tcPr>
          <w:p w14:paraId="1FC4B4D9" w14:textId="2A3A4262"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 xml:space="preserve">Municipal, industrial, agricultural, domestic and recreational </w:t>
            </w:r>
          </w:p>
        </w:tc>
      </w:tr>
      <w:tr w:rsidR="00516879" w:rsidRPr="00EF5D3E" w14:paraId="067F5082" w14:textId="77777777" w:rsidTr="00EF5D3E">
        <w:tc>
          <w:tcPr>
            <w:tcW w:w="0" w:type="auto"/>
          </w:tcPr>
          <w:p w14:paraId="28A9A32C" w14:textId="082D4095"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North Fork Feeder Conduit</w:t>
            </w:r>
          </w:p>
        </w:tc>
        <w:tc>
          <w:tcPr>
            <w:tcW w:w="0" w:type="auto"/>
          </w:tcPr>
          <w:p w14:paraId="0EE59D5D" w14:textId="69CA8346"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W-3245, Sept. 29, 1977</w:t>
            </w:r>
          </w:p>
        </w:tc>
        <w:tc>
          <w:tcPr>
            <w:tcW w:w="0" w:type="auto"/>
          </w:tcPr>
          <w:p w14:paraId="19D2AC1D" w14:textId="568C0DED"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 xml:space="preserve">25 </w:t>
            </w:r>
            <w:proofErr w:type="spellStart"/>
            <w:r w:rsidRPr="00EF5D3E">
              <w:rPr>
                <w:rFonts w:ascii="ZapfCalligr BT" w:hAnsi="ZapfCalligr BT" w:cs="Times New Roman"/>
                <w:sz w:val="22"/>
                <w:szCs w:val="22"/>
              </w:rPr>
              <w:t>cfs</w:t>
            </w:r>
            <w:proofErr w:type="spellEnd"/>
          </w:p>
        </w:tc>
        <w:tc>
          <w:tcPr>
            <w:tcW w:w="0" w:type="auto"/>
          </w:tcPr>
          <w:p w14:paraId="42219845" w14:textId="3EC55E98"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Oct. 7, 1976</w:t>
            </w:r>
          </w:p>
        </w:tc>
        <w:tc>
          <w:tcPr>
            <w:tcW w:w="0" w:type="auto"/>
          </w:tcPr>
          <w:p w14:paraId="1DDB70B3" w14:textId="784EF72E"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Municipal, industrial, agricultural, domestic and recreational</w:t>
            </w:r>
          </w:p>
        </w:tc>
      </w:tr>
      <w:tr w:rsidR="00516879" w:rsidRPr="00EF5D3E" w14:paraId="1CADA071" w14:textId="77777777" w:rsidTr="00EF5D3E">
        <w:tc>
          <w:tcPr>
            <w:tcW w:w="0" w:type="auto"/>
          </w:tcPr>
          <w:p w14:paraId="5D4037A8" w14:textId="1A053236" w:rsidR="00516879" w:rsidRPr="00EF5D3E" w:rsidRDefault="00516879" w:rsidP="00EF5D3E">
            <w:pPr>
              <w:rPr>
                <w:rFonts w:ascii="ZapfCalligr BT" w:hAnsi="ZapfCalligr BT" w:cs="Times New Roman"/>
                <w:sz w:val="22"/>
                <w:szCs w:val="22"/>
              </w:rPr>
            </w:pPr>
            <w:r w:rsidRPr="00EF5D3E">
              <w:rPr>
                <w:rFonts w:ascii="ZapfCalligr BT" w:hAnsi="ZapfCalligr BT"/>
                <w:sz w:val="22"/>
                <w:szCs w:val="22"/>
              </w:rPr>
              <w:t>Ripple Creek Reservoir</w:t>
            </w:r>
          </w:p>
        </w:tc>
        <w:tc>
          <w:tcPr>
            <w:tcW w:w="0" w:type="auto"/>
          </w:tcPr>
          <w:p w14:paraId="03A41D39" w14:textId="39A4488E"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CA 1269, Nov. 21, 1966</w:t>
            </w:r>
          </w:p>
        </w:tc>
        <w:tc>
          <w:tcPr>
            <w:tcW w:w="0" w:type="auto"/>
          </w:tcPr>
          <w:p w14:paraId="4A01CA7B" w14:textId="3BBFF683" w:rsidR="00516879" w:rsidRPr="00EF5D3E" w:rsidRDefault="00516879" w:rsidP="00EF5D3E">
            <w:pPr>
              <w:rPr>
                <w:rFonts w:ascii="ZapfCalligr BT" w:hAnsi="ZapfCalligr BT" w:cs="Times New Roman"/>
                <w:sz w:val="22"/>
                <w:szCs w:val="22"/>
                <w:vertAlign w:val="superscript"/>
              </w:rPr>
            </w:pPr>
            <w:r w:rsidRPr="00EF5D3E">
              <w:rPr>
                <w:rFonts w:ascii="ZapfCalligr BT" w:hAnsi="ZapfCalligr BT" w:cs="Times New Roman"/>
                <w:sz w:val="22"/>
                <w:szCs w:val="22"/>
              </w:rPr>
              <w:t>12,500 Acre Feet</w:t>
            </w:r>
            <w:r w:rsidRPr="00EF5D3E">
              <w:rPr>
                <w:rFonts w:ascii="ZapfCalligr BT" w:hAnsi="ZapfCalligr BT" w:cs="Times New Roman"/>
                <w:sz w:val="22"/>
                <w:szCs w:val="22"/>
                <w:vertAlign w:val="superscript"/>
              </w:rPr>
              <w:t>1</w:t>
            </w:r>
          </w:p>
        </w:tc>
        <w:tc>
          <w:tcPr>
            <w:tcW w:w="0" w:type="auto"/>
          </w:tcPr>
          <w:p w14:paraId="41C1A20E" w14:textId="594B4B0F"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Nov. 9, 1953</w:t>
            </w:r>
          </w:p>
        </w:tc>
        <w:tc>
          <w:tcPr>
            <w:tcW w:w="0" w:type="auto"/>
          </w:tcPr>
          <w:p w14:paraId="55EC135D" w14:textId="77777777" w:rsidR="00516879" w:rsidRPr="00EF5D3E" w:rsidRDefault="00516879" w:rsidP="00EF5D3E">
            <w:pPr>
              <w:autoSpaceDE w:val="0"/>
              <w:autoSpaceDN w:val="0"/>
              <w:adjustRightInd w:val="0"/>
              <w:rPr>
                <w:rFonts w:ascii="ZapfCalligr BT" w:hAnsi="ZapfCalligr BT" w:cs="Times New Roman"/>
                <w:sz w:val="22"/>
                <w:szCs w:val="22"/>
              </w:rPr>
            </w:pPr>
            <w:r w:rsidRPr="00EF5D3E">
              <w:rPr>
                <w:rFonts w:ascii="ZapfCalligr BT" w:hAnsi="ZapfCalligr BT" w:cs="Times New Roman"/>
                <w:sz w:val="22"/>
                <w:szCs w:val="22"/>
              </w:rPr>
              <w:t>Irrigation, domestic, municipal, stock water, industrial, flood control,</w:t>
            </w:r>
          </w:p>
          <w:p w14:paraId="3C72D6F7" w14:textId="5CAFB1D2"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piscatorial, wildlife protection and preservation, and recreational uses</w:t>
            </w:r>
          </w:p>
        </w:tc>
      </w:tr>
      <w:tr w:rsidR="00516879" w:rsidRPr="00EF5D3E" w14:paraId="6095ED61" w14:textId="77777777" w:rsidTr="00EF5D3E">
        <w:tc>
          <w:tcPr>
            <w:tcW w:w="0" w:type="auto"/>
          </w:tcPr>
          <w:p w14:paraId="4BF0D94E" w14:textId="54641443" w:rsidR="00516879" w:rsidRPr="00EF5D3E" w:rsidRDefault="00516879" w:rsidP="00EF5D3E">
            <w:pPr>
              <w:rPr>
                <w:rFonts w:ascii="ZapfCalligr BT" w:hAnsi="ZapfCalligr BT" w:cs="Times New Roman"/>
                <w:sz w:val="22"/>
                <w:szCs w:val="22"/>
              </w:rPr>
            </w:pPr>
            <w:r w:rsidRPr="00EF5D3E">
              <w:rPr>
                <w:rFonts w:ascii="ZapfCalligr BT" w:hAnsi="ZapfCalligr BT"/>
                <w:sz w:val="22"/>
                <w:szCs w:val="22"/>
              </w:rPr>
              <w:t>Lost Park Reservoir</w:t>
            </w:r>
          </w:p>
        </w:tc>
        <w:tc>
          <w:tcPr>
            <w:tcW w:w="0" w:type="auto"/>
          </w:tcPr>
          <w:p w14:paraId="71CD5F66" w14:textId="6586262D"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CA 1269, Nov. 21, 1966</w:t>
            </w:r>
          </w:p>
        </w:tc>
        <w:tc>
          <w:tcPr>
            <w:tcW w:w="0" w:type="auto"/>
          </w:tcPr>
          <w:p w14:paraId="6ED1B2A1" w14:textId="0C5D2878" w:rsidR="00516879" w:rsidRPr="00EF5D3E" w:rsidRDefault="00516879" w:rsidP="00EF5D3E">
            <w:pPr>
              <w:rPr>
                <w:rFonts w:ascii="ZapfCalligr BT" w:hAnsi="ZapfCalligr BT" w:cs="Times New Roman"/>
                <w:sz w:val="22"/>
                <w:szCs w:val="22"/>
                <w:vertAlign w:val="superscript"/>
              </w:rPr>
            </w:pPr>
            <w:r w:rsidRPr="00EF5D3E">
              <w:rPr>
                <w:rFonts w:ascii="ZapfCalligr BT" w:hAnsi="ZapfCalligr BT" w:cs="Times New Roman"/>
                <w:sz w:val="22"/>
                <w:szCs w:val="22"/>
              </w:rPr>
              <w:t>12,500 Acre Feet</w:t>
            </w:r>
            <w:r w:rsidRPr="00EF5D3E">
              <w:rPr>
                <w:rFonts w:ascii="ZapfCalligr BT" w:hAnsi="ZapfCalligr BT" w:cs="Times New Roman"/>
                <w:sz w:val="22"/>
                <w:szCs w:val="22"/>
                <w:vertAlign w:val="superscript"/>
              </w:rPr>
              <w:t>1</w:t>
            </w:r>
          </w:p>
        </w:tc>
        <w:tc>
          <w:tcPr>
            <w:tcW w:w="0" w:type="auto"/>
          </w:tcPr>
          <w:p w14:paraId="7DBEBDF3" w14:textId="74383034"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Nov. 9, 1953</w:t>
            </w:r>
          </w:p>
        </w:tc>
        <w:tc>
          <w:tcPr>
            <w:tcW w:w="0" w:type="auto"/>
          </w:tcPr>
          <w:p w14:paraId="2A9E1DCC" w14:textId="77777777" w:rsidR="00516879" w:rsidRPr="00EF5D3E" w:rsidRDefault="00516879" w:rsidP="00EF5D3E">
            <w:pPr>
              <w:autoSpaceDE w:val="0"/>
              <w:autoSpaceDN w:val="0"/>
              <w:adjustRightInd w:val="0"/>
              <w:rPr>
                <w:rFonts w:ascii="ZapfCalligr BT" w:hAnsi="ZapfCalligr BT" w:cs="Times New Roman"/>
                <w:sz w:val="22"/>
                <w:szCs w:val="22"/>
              </w:rPr>
            </w:pPr>
            <w:r w:rsidRPr="00EF5D3E">
              <w:rPr>
                <w:rFonts w:ascii="ZapfCalligr BT" w:hAnsi="ZapfCalligr BT" w:cs="Times New Roman"/>
                <w:sz w:val="22"/>
                <w:szCs w:val="22"/>
              </w:rPr>
              <w:t>Irrigation, domestic, municipal, stock water, industrial, flood control,</w:t>
            </w:r>
          </w:p>
          <w:p w14:paraId="198A1009" w14:textId="0EE9EBF6" w:rsidR="00516879" w:rsidRPr="00EF5D3E" w:rsidRDefault="00516879" w:rsidP="00EF5D3E">
            <w:pPr>
              <w:rPr>
                <w:rFonts w:ascii="ZapfCalligr BT" w:hAnsi="ZapfCalligr BT" w:cs="Times New Roman"/>
                <w:sz w:val="22"/>
                <w:szCs w:val="22"/>
              </w:rPr>
            </w:pPr>
            <w:r w:rsidRPr="00EF5D3E">
              <w:rPr>
                <w:rFonts w:ascii="ZapfCalligr BT" w:hAnsi="ZapfCalligr BT" w:cs="Times New Roman"/>
                <w:sz w:val="22"/>
                <w:szCs w:val="22"/>
              </w:rPr>
              <w:t>piscatorial, wildlife protection and preservation, and recreational uses</w:t>
            </w:r>
          </w:p>
        </w:tc>
      </w:tr>
    </w:tbl>
    <w:p w14:paraId="024C4FCD" w14:textId="7912AC25" w:rsidR="00516879" w:rsidRPr="00EF5D3E" w:rsidRDefault="00516879" w:rsidP="00516879">
      <w:pPr>
        <w:pStyle w:val="ListParagraph"/>
        <w:numPr>
          <w:ilvl w:val="0"/>
          <w:numId w:val="2"/>
        </w:numPr>
        <w:rPr>
          <w:rFonts w:cs="Times New Roman"/>
          <w:sz w:val="23"/>
          <w:szCs w:val="23"/>
        </w:rPr>
      </w:pPr>
      <w:r w:rsidRPr="00EF5D3E">
        <w:rPr>
          <w:sz w:val="20"/>
          <w:szCs w:val="20"/>
        </w:rPr>
        <w:lastRenderedPageBreak/>
        <w:t xml:space="preserve">The </w:t>
      </w:r>
      <w:proofErr w:type="spellStart"/>
      <w:r w:rsidRPr="00EF5D3E">
        <w:rPr>
          <w:sz w:val="20"/>
          <w:szCs w:val="20"/>
        </w:rPr>
        <w:t>YJWCD</w:t>
      </w:r>
      <w:proofErr w:type="spellEnd"/>
      <w:r w:rsidRPr="00EF5D3E">
        <w:rPr>
          <w:sz w:val="20"/>
          <w:szCs w:val="20"/>
        </w:rPr>
        <w:t xml:space="preserve"> has agreed to limit storage of Ripple Creek Reservoir and Lost Park Reservoir to no more than 12,500 acre feet at one or more locations downstream from the presently decreed locations.</w:t>
      </w:r>
    </w:p>
    <w:p w14:paraId="024F4460" w14:textId="6C3CEA4E" w:rsidR="00205FA3" w:rsidRDefault="00EF5D3E" w:rsidP="00EF5D3E">
      <w:pPr>
        <w:ind w:firstLine="720"/>
        <w:jc w:val="both"/>
        <w:rPr>
          <w:rFonts w:ascii="ZapfCalligr BT" w:hAnsi="ZapfCalligr BT"/>
          <w:sz w:val="22"/>
        </w:rPr>
      </w:pPr>
      <w:r w:rsidRPr="00EF5D3E">
        <w:rPr>
          <w:rFonts w:ascii="ZapfCalligr BT" w:hAnsi="ZapfCalligr BT"/>
          <w:b/>
          <w:i/>
          <w:color w:val="000000"/>
          <w:sz w:val="23"/>
          <w:szCs w:val="23"/>
        </w:rPr>
        <w:t>Sawmill Mountain Reservoir</w:t>
      </w:r>
      <w:r w:rsidRPr="00EF5D3E">
        <w:rPr>
          <w:rFonts w:ascii="ZapfCalligr BT" w:hAnsi="ZapfCalligr BT"/>
          <w:color w:val="000000"/>
          <w:sz w:val="23"/>
          <w:szCs w:val="23"/>
        </w:rPr>
        <w:t xml:space="preserve">.  The District agreed to </w:t>
      </w:r>
      <w:r w:rsidRPr="00EF5D3E">
        <w:rPr>
          <w:rFonts w:ascii="ZapfCalligr BT" w:hAnsi="ZapfCalligr BT"/>
          <w:sz w:val="22"/>
        </w:rPr>
        <w:t xml:space="preserve">limit its ability to store 3,000 </w:t>
      </w:r>
      <w:proofErr w:type="spellStart"/>
      <w:proofErr w:type="gramStart"/>
      <w:r w:rsidRPr="00EF5D3E">
        <w:rPr>
          <w:rFonts w:ascii="ZapfCalligr BT" w:hAnsi="ZapfCalligr BT"/>
          <w:sz w:val="22"/>
        </w:rPr>
        <w:t>af</w:t>
      </w:r>
      <w:proofErr w:type="spellEnd"/>
      <w:proofErr w:type="gramEnd"/>
      <w:r w:rsidRPr="00EF5D3E">
        <w:rPr>
          <w:rFonts w:ascii="ZapfCalligr BT" w:hAnsi="ZapfCalligr BT"/>
          <w:sz w:val="22"/>
        </w:rPr>
        <w:t xml:space="preserve"> of Sawmill Mountain Reservoir above Livingston ranch, but may store all or some at a point below the ranch.  The Sawmill Mountain Reservoir may only fill using native flows, no water pumped from White River.  The District also agreed to not interfere with Livingston water rights or inundate the Livingston property and must comply with all instream flow water rights.  No more than 10,000 </w:t>
      </w:r>
      <w:proofErr w:type="spellStart"/>
      <w:proofErr w:type="gramStart"/>
      <w:r w:rsidRPr="00EF5D3E">
        <w:rPr>
          <w:rFonts w:ascii="ZapfCalligr BT" w:hAnsi="ZapfCalligr BT"/>
          <w:sz w:val="22"/>
        </w:rPr>
        <w:t>af</w:t>
      </w:r>
      <w:proofErr w:type="spellEnd"/>
      <w:proofErr w:type="gramEnd"/>
      <w:r w:rsidRPr="00EF5D3E">
        <w:rPr>
          <w:rFonts w:ascii="ZapfCalligr BT" w:hAnsi="ZapfCalligr BT"/>
          <w:sz w:val="22"/>
        </w:rPr>
        <w:t xml:space="preserve"> may be stored in the Big Beaver drainage.  The District has applied to move all of this water right to the Big Beaver Creek Reservoir a/k/a Lake Avery, in Case No. 19CW3017.</w:t>
      </w:r>
      <w:r w:rsidR="00DB28C3">
        <w:rPr>
          <w:rFonts w:ascii="ZapfCalligr BT" w:hAnsi="ZapfCalligr BT"/>
          <w:sz w:val="22"/>
        </w:rPr>
        <w:t xml:space="preserve">  That case is unopposed.</w:t>
      </w:r>
    </w:p>
    <w:p w14:paraId="77F59191" w14:textId="58E5BF80" w:rsidR="00DB28C3" w:rsidRDefault="00DB28C3" w:rsidP="00EF5D3E">
      <w:pPr>
        <w:ind w:firstLine="720"/>
        <w:jc w:val="both"/>
        <w:rPr>
          <w:rFonts w:ascii="ZapfCalligr BT" w:hAnsi="ZapfCalligr BT"/>
          <w:sz w:val="22"/>
        </w:rPr>
      </w:pPr>
    </w:p>
    <w:p w14:paraId="00F06E0A" w14:textId="3CC727EC" w:rsidR="00DB28C3" w:rsidRPr="00EF5D3E" w:rsidRDefault="00DB28C3" w:rsidP="00EF5D3E">
      <w:pPr>
        <w:ind w:firstLine="720"/>
        <w:jc w:val="both"/>
        <w:rPr>
          <w:rFonts w:ascii="ZapfCalligr BT" w:hAnsi="ZapfCalligr BT"/>
          <w:sz w:val="22"/>
        </w:rPr>
      </w:pPr>
      <w:r>
        <w:rPr>
          <w:rFonts w:ascii="ZapfCalligr BT" w:hAnsi="ZapfCalligr BT"/>
          <w:sz w:val="22"/>
        </w:rPr>
        <w:t xml:space="preserve">In 2018, Applegate Group prepared an analysis of the potential expansion.  One option considered increasing the height of the dam by 5 feet.  Preliminary cost estimates were $3.5 million with an increase of storage of 1,727 acre feet, or $2,051 per acre foot.  Assuming the District is successful in the change of water right and future diligence application, the District will still need to negotiate with Colorado Parks and Wildlife for the storage and operations in Lake Avery as well as costs for construction. </w:t>
      </w:r>
    </w:p>
    <w:p w14:paraId="5F97EEF7" w14:textId="6437D54A" w:rsidR="00EF5D3E" w:rsidRPr="00EF5D3E" w:rsidRDefault="00EF5D3E" w:rsidP="00EF5D3E">
      <w:pPr>
        <w:ind w:firstLine="720"/>
        <w:jc w:val="both"/>
        <w:rPr>
          <w:rFonts w:ascii="ZapfCalligr BT" w:hAnsi="ZapfCalligr BT"/>
          <w:sz w:val="22"/>
        </w:rPr>
      </w:pPr>
    </w:p>
    <w:p w14:paraId="4CFE7457" w14:textId="2AE55D99" w:rsidR="00EF5D3E" w:rsidRDefault="00EF5D3E" w:rsidP="00EF5D3E">
      <w:pPr>
        <w:ind w:firstLine="720"/>
        <w:jc w:val="both"/>
        <w:rPr>
          <w:rFonts w:ascii="ZapfCalligr BT" w:hAnsi="ZapfCalligr BT"/>
          <w:sz w:val="22"/>
        </w:rPr>
      </w:pPr>
      <w:r w:rsidRPr="00EF5D3E">
        <w:rPr>
          <w:rFonts w:ascii="ZapfCalligr BT" w:hAnsi="ZapfCalligr BT"/>
          <w:b/>
          <w:i/>
          <w:sz w:val="22"/>
        </w:rPr>
        <w:t>North Fork Feeder Conduit</w:t>
      </w:r>
      <w:r w:rsidRPr="00EF5D3E">
        <w:rPr>
          <w:rFonts w:ascii="ZapfCalligr BT" w:hAnsi="ZapfCalligr BT"/>
          <w:sz w:val="22"/>
        </w:rPr>
        <w:t>.</w:t>
      </w:r>
      <w:r>
        <w:rPr>
          <w:rFonts w:ascii="ZapfCalligr BT" w:hAnsi="ZapfCalligr BT"/>
          <w:sz w:val="22"/>
        </w:rPr>
        <w:t xml:space="preserve">  This water right diverts from the North Fork of the White River at a point between Lost Creek and </w:t>
      </w:r>
      <w:proofErr w:type="spellStart"/>
      <w:r>
        <w:rPr>
          <w:rFonts w:ascii="ZapfCalligr BT" w:hAnsi="ZapfCalligr BT"/>
          <w:sz w:val="22"/>
        </w:rPr>
        <w:t>Marvine</w:t>
      </w:r>
      <w:proofErr w:type="spellEnd"/>
      <w:r>
        <w:rPr>
          <w:rFonts w:ascii="ZapfCalligr BT" w:hAnsi="ZapfCalligr BT"/>
          <w:sz w:val="22"/>
        </w:rPr>
        <w:t xml:space="preserve"> Creek.  The District agreed that it would not construct this water right on any lands</w:t>
      </w:r>
      <w:r w:rsidR="00C713F1">
        <w:rPr>
          <w:rFonts w:ascii="ZapfCalligr BT" w:hAnsi="ZapfCalligr BT"/>
          <w:sz w:val="22"/>
        </w:rPr>
        <w:t xml:space="preserve"> owned by C Lazy S Ranch, Colorado Cattlemen’s Agricultural Land Trust, Fawn Creek and David Cogswell and to move this water right so it does not cross the respective properties</w:t>
      </w:r>
      <w:r w:rsidR="007D66BC">
        <w:rPr>
          <w:rFonts w:ascii="ZapfCalligr BT" w:hAnsi="ZapfCalligr BT"/>
          <w:sz w:val="22"/>
        </w:rPr>
        <w:t xml:space="preserve"> within this diligence cycle</w:t>
      </w:r>
      <w:r w:rsidR="00C713F1">
        <w:rPr>
          <w:rFonts w:ascii="ZapfCalligr BT" w:hAnsi="ZapfCalligr BT"/>
          <w:sz w:val="22"/>
        </w:rPr>
        <w:t>.</w:t>
      </w:r>
    </w:p>
    <w:p w14:paraId="133FA750" w14:textId="4103CAF1" w:rsidR="007D66BC" w:rsidRDefault="007D66BC" w:rsidP="00EF5D3E">
      <w:pPr>
        <w:ind w:firstLine="720"/>
        <w:jc w:val="both"/>
        <w:rPr>
          <w:rFonts w:ascii="ZapfCalligr BT" w:hAnsi="ZapfCalligr BT"/>
          <w:sz w:val="22"/>
        </w:rPr>
      </w:pPr>
    </w:p>
    <w:p w14:paraId="498D5784" w14:textId="5966E573" w:rsidR="007D66BC" w:rsidRDefault="007D66BC" w:rsidP="00EF5D3E">
      <w:pPr>
        <w:ind w:firstLine="720"/>
        <w:jc w:val="both"/>
        <w:rPr>
          <w:rFonts w:ascii="ZapfCalligr BT" w:hAnsi="ZapfCalligr BT"/>
          <w:sz w:val="22"/>
        </w:rPr>
      </w:pPr>
      <w:r>
        <w:rPr>
          <w:rFonts w:ascii="ZapfCalligr BT" w:hAnsi="ZapfCalligr BT"/>
          <w:sz w:val="22"/>
        </w:rPr>
        <w:t>This water right is junior to the senior priority at Taylor Draw but senior to the junior priority.</w:t>
      </w:r>
      <w:r w:rsidR="00DB28C3">
        <w:rPr>
          <w:rFonts w:ascii="ZapfCalligr BT" w:hAnsi="ZapfCalligr BT"/>
          <w:sz w:val="22"/>
        </w:rPr>
        <w:t xml:space="preserve">  And it is senior to the Colorado Water Conservation Board’s instream flow right </w:t>
      </w:r>
      <w:r w:rsidR="00A41167">
        <w:rPr>
          <w:rFonts w:ascii="ZapfCalligr BT" w:hAnsi="ZapfCalligr BT"/>
          <w:sz w:val="22"/>
        </w:rPr>
        <w:t>that has an appropriation date of November 15, 1977.</w:t>
      </w:r>
      <w:r>
        <w:rPr>
          <w:rFonts w:ascii="ZapfCalligr BT" w:hAnsi="ZapfCalligr BT"/>
          <w:sz w:val="22"/>
        </w:rPr>
        <w:t xml:space="preserve">  </w:t>
      </w:r>
      <w:r w:rsidR="00DB28C3">
        <w:rPr>
          <w:rFonts w:ascii="ZapfCalligr BT" w:hAnsi="ZapfCalligr BT"/>
          <w:sz w:val="22"/>
        </w:rPr>
        <w:t>This water right is a direct flow right.  It could be moved to a location do</w:t>
      </w:r>
      <w:r w:rsidR="00A41167">
        <w:rPr>
          <w:rFonts w:ascii="ZapfCalligr BT" w:hAnsi="ZapfCalligr BT"/>
          <w:sz w:val="22"/>
        </w:rPr>
        <w:t xml:space="preserve">wnstream and used by downstream and has the potential for direct use or to fill a reservoir.  However, a preliminary review of the tabulation of water rights on the White River indicates that </w:t>
      </w:r>
      <w:r w:rsidR="00A9587D">
        <w:rPr>
          <w:rFonts w:ascii="ZapfCalligr BT" w:hAnsi="ZapfCalligr BT"/>
          <w:sz w:val="22"/>
        </w:rPr>
        <w:t xml:space="preserve">this water right is junior to </w:t>
      </w:r>
      <w:r w:rsidR="00E532D5">
        <w:rPr>
          <w:rFonts w:ascii="ZapfCalligr BT" w:hAnsi="ZapfCalligr BT"/>
          <w:sz w:val="22"/>
        </w:rPr>
        <w:t xml:space="preserve">all of the major irrigation ditches.  Thus, it does not appear that there would be a need by any irrigators for this water right.  By comparison, the District’s Highland Ditch water right has a September 6, 1961 appropriation date.  That right is senior to the Highland Ditch’s sixth enlargement (with a May 1, 1968) and thus provides a benefit to the Highland Ditch.  Whereas, the North Fork Feeder Conduit would still be junior to that sixth enlargement.  </w:t>
      </w:r>
    </w:p>
    <w:p w14:paraId="6E1005E7" w14:textId="1A254ACA" w:rsidR="007D66BC" w:rsidRDefault="007D66BC" w:rsidP="00EF5D3E">
      <w:pPr>
        <w:ind w:firstLine="720"/>
        <w:jc w:val="both"/>
        <w:rPr>
          <w:rFonts w:ascii="ZapfCalligr BT" w:hAnsi="ZapfCalligr BT"/>
          <w:sz w:val="22"/>
        </w:rPr>
      </w:pPr>
    </w:p>
    <w:p w14:paraId="225B2F87" w14:textId="77777777" w:rsidR="003F22B1" w:rsidRDefault="007D66BC" w:rsidP="00EF5D3E">
      <w:pPr>
        <w:ind w:firstLine="720"/>
        <w:jc w:val="both"/>
        <w:rPr>
          <w:rFonts w:ascii="ZapfCalligr BT" w:hAnsi="ZapfCalligr BT"/>
          <w:color w:val="000000"/>
          <w:sz w:val="23"/>
          <w:szCs w:val="23"/>
        </w:rPr>
      </w:pPr>
      <w:r w:rsidRPr="00DB28C3">
        <w:rPr>
          <w:rFonts w:ascii="ZapfCalligr BT" w:hAnsi="ZapfCalligr BT"/>
          <w:b/>
          <w:i/>
          <w:color w:val="000000"/>
          <w:sz w:val="23"/>
          <w:szCs w:val="23"/>
        </w:rPr>
        <w:t>Ripple Creek Reservoir and Lost Park Reservoir.</w:t>
      </w:r>
      <w:r>
        <w:rPr>
          <w:rFonts w:ascii="ZapfCalligr BT" w:hAnsi="ZapfCalligr BT"/>
          <w:color w:val="000000"/>
          <w:sz w:val="23"/>
          <w:szCs w:val="23"/>
        </w:rPr>
        <w:t xml:space="preserve">  The District agreed to limit total storage under these two water rights to 12,500 acre feet.  These reservoirs have the same </w:t>
      </w:r>
      <w:proofErr w:type="gramStart"/>
      <w:r>
        <w:rPr>
          <w:rFonts w:ascii="ZapfCalligr BT" w:hAnsi="ZapfCalligr BT"/>
          <w:color w:val="000000"/>
          <w:sz w:val="23"/>
          <w:szCs w:val="23"/>
        </w:rPr>
        <w:t>priority</w:t>
      </w:r>
      <w:proofErr w:type="gramEnd"/>
      <w:r>
        <w:rPr>
          <w:rFonts w:ascii="ZapfCalligr BT" w:hAnsi="ZapfCalligr BT"/>
          <w:color w:val="000000"/>
          <w:sz w:val="23"/>
          <w:szCs w:val="23"/>
        </w:rPr>
        <w:t xml:space="preserve"> and uses.  However, Lost Park Reservoir is located off stream, whereas Ripple Creek Reservoir is located on channel with its source being the White River.  Without the feeder canals to fill Lost Park Reservoir, the Ripple Creek Reservoir water right has a more reliable supply of water and is the better right to preserve.  The 2013 Reservoir Feasibility Study </w:t>
      </w:r>
      <w:r w:rsidR="003F22B1">
        <w:rPr>
          <w:rFonts w:ascii="ZapfCalligr BT" w:hAnsi="ZapfCalligr BT"/>
          <w:color w:val="000000"/>
          <w:sz w:val="23"/>
          <w:szCs w:val="23"/>
        </w:rPr>
        <w:lastRenderedPageBreak/>
        <w:t>determined an average of 43,400 acre feet of available supply for Ripple Creek Res</w:t>
      </w:r>
      <w:bookmarkStart w:id="0" w:name="_GoBack"/>
      <w:bookmarkEnd w:id="0"/>
      <w:r w:rsidR="003F22B1">
        <w:rPr>
          <w:rFonts w:ascii="ZapfCalligr BT" w:hAnsi="ZapfCalligr BT"/>
          <w:color w:val="000000"/>
          <w:sz w:val="23"/>
          <w:szCs w:val="23"/>
        </w:rPr>
        <w:t>ervoir, and only 4,300 acre feet for Lost Park Reservoir from native flows.</w:t>
      </w:r>
    </w:p>
    <w:p w14:paraId="17D962D6" w14:textId="77777777" w:rsidR="003F22B1" w:rsidRPr="00E532D5" w:rsidRDefault="003F22B1" w:rsidP="00EF5D3E">
      <w:pPr>
        <w:ind w:firstLine="720"/>
        <w:jc w:val="both"/>
        <w:rPr>
          <w:rFonts w:ascii="ZapfCalligr BT" w:hAnsi="ZapfCalligr BT"/>
          <w:color w:val="000000"/>
          <w:sz w:val="23"/>
          <w:szCs w:val="23"/>
        </w:rPr>
      </w:pPr>
    </w:p>
    <w:p w14:paraId="6000510F" w14:textId="1D597D02" w:rsidR="007C3607" w:rsidRDefault="003F22B1" w:rsidP="00E532D5">
      <w:pPr>
        <w:ind w:firstLine="720"/>
        <w:jc w:val="both"/>
        <w:rPr>
          <w:rFonts w:ascii="ZapfCalligr BT" w:hAnsi="ZapfCalligr BT"/>
          <w:color w:val="000000"/>
          <w:sz w:val="23"/>
          <w:szCs w:val="23"/>
        </w:rPr>
      </w:pPr>
      <w:r w:rsidRPr="00E532D5">
        <w:rPr>
          <w:rFonts w:ascii="ZapfCalligr BT" w:hAnsi="ZapfCalligr BT"/>
          <w:sz w:val="23"/>
          <w:szCs w:val="23"/>
        </w:rPr>
        <w:t>T</w:t>
      </w:r>
      <w:r w:rsidRPr="00E532D5">
        <w:rPr>
          <w:rFonts w:ascii="ZapfCalligr BT" w:hAnsi="ZapfCalligr BT"/>
          <w:color w:val="000000"/>
          <w:sz w:val="23"/>
          <w:szCs w:val="23"/>
        </w:rPr>
        <w:t>he District agreed to only fill and divert from the White River and its tributaries in connection with its water rights between April 15th and June 15</w:t>
      </w:r>
      <w:r w:rsidRPr="00E532D5">
        <w:rPr>
          <w:rFonts w:ascii="ZapfCalligr BT" w:hAnsi="ZapfCalligr BT"/>
          <w:color w:val="000000"/>
          <w:sz w:val="23"/>
          <w:szCs w:val="23"/>
          <w:vertAlign w:val="superscript"/>
        </w:rPr>
        <w:t>th</w:t>
      </w:r>
      <w:r w:rsidRPr="00E532D5">
        <w:rPr>
          <w:rFonts w:ascii="ZapfCalligr BT" w:hAnsi="ZapfCalligr BT"/>
          <w:color w:val="000000"/>
          <w:sz w:val="23"/>
          <w:szCs w:val="23"/>
        </w:rPr>
        <w:t xml:space="preserve"> of each year, and at a maximum, cumulative rate of 100 </w:t>
      </w:r>
      <w:proofErr w:type="spellStart"/>
      <w:r w:rsidRPr="00E532D5">
        <w:rPr>
          <w:rFonts w:ascii="ZapfCalligr BT" w:hAnsi="ZapfCalligr BT"/>
          <w:color w:val="000000"/>
          <w:sz w:val="23"/>
          <w:szCs w:val="23"/>
        </w:rPr>
        <w:t>cfs</w:t>
      </w:r>
      <w:proofErr w:type="spellEnd"/>
      <w:r w:rsidRPr="00E532D5">
        <w:rPr>
          <w:rFonts w:ascii="ZapfCalligr BT" w:hAnsi="ZapfCalligr BT"/>
          <w:color w:val="000000"/>
          <w:sz w:val="23"/>
          <w:szCs w:val="23"/>
        </w:rPr>
        <w:t xml:space="preserve">. However, this maximum, cumulative fill rate of 100 </w:t>
      </w:r>
      <w:proofErr w:type="spellStart"/>
      <w:r w:rsidRPr="00E532D5">
        <w:rPr>
          <w:rFonts w:ascii="ZapfCalligr BT" w:hAnsi="ZapfCalligr BT"/>
          <w:color w:val="000000"/>
          <w:sz w:val="23"/>
          <w:szCs w:val="23"/>
        </w:rPr>
        <w:t>cfs</w:t>
      </w:r>
      <w:proofErr w:type="spellEnd"/>
      <w:r w:rsidRPr="00E532D5">
        <w:rPr>
          <w:rFonts w:ascii="ZapfCalligr BT" w:hAnsi="ZapfCalligr BT"/>
          <w:color w:val="000000"/>
          <w:sz w:val="23"/>
          <w:szCs w:val="23"/>
        </w:rPr>
        <w:t xml:space="preserve"> </w:t>
      </w:r>
      <w:proofErr w:type="spellStart"/>
      <w:r w:rsidRPr="00E532D5">
        <w:rPr>
          <w:rFonts w:ascii="ZapfCalligr BT" w:hAnsi="ZapfCalligr BT"/>
          <w:color w:val="000000"/>
          <w:sz w:val="23"/>
          <w:szCs w:val="23"/>
        </w:rPr>
        <w:t>dose</w:t>
      </w:r>
      <w:proofErr w:type="spellEnd"/>
      <w:r w:rsidRPr="00E532D5">
        <w:rPr>
          <w:rFonts w:ascii="ZapfCalligr BT" w:hAnsi="ZapfCalligr BT"/>
          <w:color w:val="000000"/>
          <w:sz w:val="23"/>
          <w:szCs w:val="23"/>
        </w:rPr>
        <w:t xml:space="preserve"> not apply when the flows of the White River between April 15</w:t>
      </w:r>
      <w:r w:rsidRPr="00E532D5">
        <w:rPr>
          <w:rFonts w:ascii="ZapfCalligr BT" w:hAnsi="ZapfCalligr BT"/>
          <w:color w:val="000000"/>
          <w:sz w:val="23"/>
          <w:szCs w:val="23"/>
          <w:vertAlign w:val="superscript"/>
        </w:rPr>
        <w:t>th</w:t>
      </w:r>
      <w:r w:rsidRPr="00E532D5">
        <w:rPr>
          <w:rFonts w:ascii="ZapfCalligr BT" w:hAnsi="ZapfCalligr BT"/>
          <w:color w:val="000000"/>
          <w:sz w:val="23"/>
          <w:szCs w:val="23"/>
        </w:rPr>
        <w:t xml:space="preserve"> and June 15</w:t>
      </w:r>
      <w:r w:rsidRPr="00E532D5">
        <w:rPr>
          <w:rFonts w:ascii="ZapfCalligr BT" w:hAnsi="ZapfCalligr BT"/>
          <w:color w:val="000000"/>
          <w:sz w:val="23"/>
          <w:szCs w:val="23"/>
          <w:vertAlign w:val="superscript"/>
        </w:rPr>
        <w:t>th</w:t>
      </w:r>
      <w:r w:rsidRPr="00E532D5">
        <w:rPr>
          <w:rFonts w:ascii="ZapfCalligr BT" w:hAnsi="ZapfCalligr BT"/>
          <w:color w:val="000000"/>
          <w:sz w:val="23"/>
          <w:szCs w:val="23"/>
        </w:rPr>
        <w:t xml:space="preserve"> of each year are 500 </w:t>
      </w:r>
      <w:proofErr w:type="spellStart"/>
      <w:r w:rsidRPr="00E532D5">
        <w:rPr>
          <w:rFonts w:ascii="ZapfCalligr BT" w:hAnsi="ZapfCalligr BT"/>
          <w:color w:val="000000"/>
          <w:sz w:val="23"/>
          <w:szCs w:val="23"/>
        </w:rPr>
        <w:t>cfs</w:t>
      </w:r>
      <w:proofErr w:type="spellEnd"/>
      <w:r w:rsidRPr="00E532D5">
        <w:rPr>
          <w:rFonts w:ascii="ZapfCalligr BT" w:hAnsi="ZapfCalligr BT"/>
          <w:color w:val="000000"/>
          <w:sz w:val="23"/>
          <w:szCs w:val="23"/>
        </w:rPr>
        <w:t xml:space="preserve"> or greater, as measured at the White River below North Elk Creek near Buford USGS gage (Station ID No. 09304115).  Nor does this limitation apply if the water rights are changed to a point of diversion or place of storage downstream of the Town of Meeker.</w:t>
      </w:r>
    </w:p>
    <w:p w14:paraId="0D1D7A84" w14:textId="0646B250" w:rsidR="00E532D5" w:rsidRDefault="00E532D5" w:rsidP="00E532D5">
      <w:pPr>
        <w:ind w:firstLine="720"/>
        <w:jc w:val="both"/>
        <w:rPr>
          <w:rFonts w:ascii="ZapfCalligr BT" w:hAnsi="ZapfCalligr BT"/>
          <w:color w:val="000000"/>
          <w:sz w:val="23"/>
          <w:szCs w:val="23"/>
        </w:rPr>
      </w:pPr>
    </w:p>
    <w:p w14:paraId="61334F13" w14:textId="1D2227FB" w:rsidR="00E532D5" w:rsidRPr="00E532D5" w:rsidRDefault="00E532D5" w:rsidP="00E532D5">
      <w:pPr>
        <w:ind w:firstLine="720"/>
        <w:jc w:val="both"/>
        <w:rPr>
          <w:rFonts w:ascii="ZapfCalligr BT" w:hAnsi="ZapfCalligr BT"/>
          <w:sz w:val="23"/>
          <w:szCs w:val="23"/>
        </w:rPr>
      </w:pPr>
      <w:r>
        <w:rPr>
          <w:rFonts w:ascii="ZapfCalligr BT" w:hAnsi="ZapfCalligr BT"/>
          <w:sz w:val="23"/>
          <w:szCs w:val="23"/>
        </w:rPr>
        <w:t>Applegate Group has looked at a number of potential locations for these water rights in 2016.  A copy of that study is attached.  Many of the storage sites are located on federal lands and some on private lands.  Applegate Group re</w:t>
      </w:r>
      <w:r w:rsidR="006E20D3">
        <w:rPr>
          <w:rFonts w:ascii="ZapfCalligr BT" w:hAnsi="ZapfCalligr BT"/>
          <w:sz w:val="23"/>
          <w:szCs w:val="23"/>
        </w:rPr>
        <w:t xml:space="preserve">cently evaluated the potential of a call on the White River and concluded that there is the potential for a call by a </w:t>
      </w:r>
      <w:proofErr w:type="spellStart"/>
      <w:r w:rsidR="006E20D3">
        <w:rPr>
          <w:rFonts w:ascii="ZapfCalligr BT" w:hAnsi="ZapfCalligr BT"/>
          <w:sz w:val="23"/>
          <w:szCs w:val="23"/>
        </w:rPr>
        <w:t>CWCB</w:t>
      </w:r>
      <w:proofErr w:type="spellEnd"/>
      <w:r w:rsidR="006E20D3">
        <w:rPr>
          <w:rFonts w:ascii="ZapfCalligr BT" w:hAnsi="ZapfCalligr BT"/>
          <w:sz w:val="23"/>
          <w:szCs w:val="23"/>
        </w:rPr>
        <w:t xml:space="preserve"> instream flow call during the summer months.  This means that a water storage structure located downstream would not be able to augment by exchange water rights that are upstream of the reservoir.  </w:t>
      </w:r>
      <w:r>
        <w:rPr>
          <w:rFonts w:ascii="ZapfCalligr BT" w:hAnsi="ZapfCalligr BT"/>
          <w:sz w:val="23"/>
          <w:szCs w:val="23"/>
        </w:rPr>
        <w:t xml:space="preserve"> </w:t>
      </w:r>
    </w:p>
    <w:p w14:paraId="6E1B8724" w14:textId="77777777" w:rsidR="007C3607" w:rsidRPr="00E532D5" w:rsidRDefault="007C3607" w:rsidP="007C3607">
      <w:pPr>
        <w:rPr>
          <w:rFonts w:ascii="ZapfCalligr BT" w:hAnsi="ZapfCalligr BT"/>
          <w:sz w:val="23"/>
          <w:szCs w:val="23"/>
        </w:rPr>
      </w:pPr>
    </w:p>
    <w:p w14:paraId="283DAC3C" w14:textId="77777777" w:rsidR="007C3607" w:rsidRPr="008D0BE0" w:rsidRDefault="007C3607" w:rsidP="007C3607">
      <w:pPr>
        <w:rPr>
          <w:rFonts w:ascii="ZapfCalligr BT" w:hAnsi="ZapfCalligr BT"/>
          <w:sz w:val="23"/>
          <w:szCs w:val="23"/>
        </w:rPr>
      </w:pPr>
    </w:p>
    <w:p w14:paraId="248BC435" w14:textId="77777777" w:rsidR="007C3607" w:rsidRPr="008D0BE0" w:rsidRDefault="007C3607" w:rsidP="007C3607">
      <w:pPr>
        <w:rPr>
          <w:rFonts w:ascii="ZapfCalligr BT" w:hAnsi="ZapfCalligr BT"/>
          <w:sz w:val="23"/>
          <w:szCs w:val="23"/>
        </w:rPr>
      </w:pPr>
    </w:p>
    <w:p w14:paraId="22D8486C" w14:textId="77777777" w:rsidR="007C3607" w:rsidRPr="008D0BE0" w:rsidRDefault="007C3607" w:rsidP="007C3607">
      <w:pPr>
        <w:rPr>
          <w:rFonts w:ascii="ZapfCalligr BT" w:hAnsi="ZapfCalligr BT"/>
          <w:sz w:val="23"/>
          <w:szCs w:val="23"/>
        </w:rPr>
      </w:pPr>
    </w:p>
    <w:p w14:paraId="01B17CB2" w14:textId="77777777" w:rsidR="007C3607" w:rsidRPr="008D0BE0" w:rsidRDefault="007C3607" w:rsidP="007C3607">
      <w:pPr>
        <w:rPr>
          <w:rFonts w:ascii="ZapfCalligr BT" w:hAnsi="ZapfCalligr BT"/>
          <w:sz w:val="23"/>
          <w:szCs w:val="23"/>
        </w:rPr>
      </w:pPr>
    </w:p>
    <w:p w14:paraId="307B1EC8" w14:textId="77777777" w:rsidR="007C3607" w:rsidRPr="008D0BE0" w:rsidRDefault="007C3607" w:rsidP="007C3607">
      <w:pPr>
        <w:rPr>
          <w:rFonts w:ascii="ZapfCalligr BT" w:hAnsi="ZapfCalligr BT"/>
          <w:sz w:val="23"/>
          <w:szCs w:val="23"/>
        </w:rPr>
      </w:pPr>
    </w:p>
    <w:p w14:paraId="2A3DCDBF" w14:textId="77777777" w:rsidR="007C3607" w:rsidRPr="008D0BE0" w:rsidRDefault="007C3607" w:rsidP="007C3607">
      <w:pPr>
        <w:rPr>
          <w:rFonts w:ascii="ZapfCalligr BT" w:hAnsi="ZapfCalligr BT"/>
          <w:sz w:val="23"/>
          <w:szCs w:val="23"/>
        </w:rPr>
      </w:pPr>
    </w:p>
    <w:p w14:paraId="5A5B2206" w14:textId="77777777" w:rsidR="007C3607" w:rsidRPr="008D0BE0" w:rsidRDefault="007C3607" w:rsidP="007C3607">
      <w:pPr>
        <w:rPr>
          <w:rFonts w:ascii="ZapfCalligr BT" w:hAnsi="ZapfCalligr BT"/>
          <w:sz w:val="23"/>
          <w:szCs w:val="23"/>
        </w:rPr>
      </w:pPr>
    </w:p>
    <w:p w14:paraId="129E3332" w14:textId="77777777" w:rsidR="007C3607" w:rsidRPr="008D0BE0" w:rsidRDefault="007C3607" w:rsidP="007C3607">
      <w:pPr>
        <w:rPr>
          <w:rFonts w:ascii="ZapfCalligr BT" w:hAnsi="ZapfCalligr BT"/>
          <w:sz w:val="23"/>
          <w:szCs w:val="23"/>
        </w:rPr>
      </w:pPr>
    </w:p>
    <w:p w14:paraId="6A391F3E" w14:textId="77777777" w:rsidR="007C3607" w:rsidRPr="008D0BE0" w:rsidRDefault="007C3607" w:rsidP="007C3607">
      <w:pPr>
        <w:rPr>
          <w:rFonts w:ascii="ZapfCalligr BT" w:hAnsi="ZapfCalligr BT"/>
          <w:sz w:val="23"/>
          <w:szCs w:val="23"/>
        </w:rPr>
      </w:pPr>
    </w:p>
    <w:p w14:paraId="609E026B" w14:textId="77777777" w:rsidR="007C3607" w:rsidRPr="008D0BE0" w:rsidRDefault="007C3607" w:rsidP="007C3607">
      <w:pPr>
        <w:rPr>
          <w:rFonts w:ascii="ZapfCalligr BT" w:hAnsi="ZapfCalligr BT"/>
          <w:sz w:val="23"/>
          <w:szCs w:val="23"/>
        </w:rPr>
      </w:pPr>
    </w:p>
    <w:p w14:paraId="695467BC" w14:textId="1413D2C6" w:rsidR="007C3607" w:rsidRPr="008D0BE0" w:rsidRDefault="007C3607" w:rsidP="007C3607">
      <w:pPr>
        <w:rPr>
          <w:rFonts w:ascii="ZapfCalligr BT" w:hAnsi="ZapfCalligr BT"/>
          <w:sz w:val="23"/>
          <w:szCs w:val="23"/>
        </w:rPr>
      </w:pPr>
    </w:p>
    <w:p w14:paraId="5789B458" w14:textId="7C23D030" w:rsidR="00B33687" w:rsidRDefault="007C3607" w:rsidP="007C3607">
      <w:pPr>
        <w:tabs>
          <w:tab w:val="left" w:pos="7179"/>
        </w:tabs>
        <w:rPr>
          <w:rFonts w:ascii="ZapfCalligr BT" w:hAnsi="ZapfCalligr BT"/>
          <w:sz w:val="23"/>
          <w:szCs w:val="23"/>
        </w:rPr>
      </w:pPr>
      <w:r w:rsidRPr="008D0BE0">
        <w:rPr>
          <w:rFonts w:ascii="ZapfCalligr BT" w:hAnsi="ZapfCalligr BT"/>
          <w:sz w:val="23"/>
          <w:szCs w:val="23"/>
        </w:rPr>
        <w:tab/>
      </w:r>
    </w:p>
    <w:p w14:paraId="04F6AAF1" w14:textId="06088971" w:rsidR="00C25D65" w:rsidRDefault="00C25D65" w:rsidP="007C3607">
      <w:pPr>
        <w:tabs>
          <w:tab w:val="left" w:pos="7179"/>
        </w:tabs>
        <w:rPr>
          <w:rFonts w:ascii="ZapfCalligr BT" w:hAnsi="ZapfCalligr BT"/>
          <w:sz w:val="23"/>
          <w:szCs w:val="23"/>
        </w:rPr>
      </w:pPr>
    </w:p>
    <w:p w14:paraId="108D55C6" w14:textId="1920365E" w:rsidR="00C25D65" w:rsidRDefault="00C25D65" w:rsidP="007C3607">
      <w:pPr>
        <w:tabs>
          <w:tab w:val="left" w:pos="7179"/>
        </w:tabs>
        <w:rPr>
          <w:rFonts w:ascii="ZapfCalligr BT" w:hAnsi="ZapfCalligr BT"/>
          <w:sz w:val="23"/>
          <w:szCs w:val="23"/>
        </w:rPr>
      </w:pPr>
    </w:p>
    <w:p w14:paraId="03D278C9" w14:textId="3C70792F" w:rsidR="00C25D65" w:rsidRDefault="00C25D65" w:rsidP="007C3607">
      <w:pPr>
        <w:tabs>
          <w:tab w:val="left" w:pos="7179"/>
        </w:tabs>
        <w:rPr>
          <w:rFonts w:ascii="ZapfCalligr BT" w:hAnsi="ZapfCalligr BT"/>
          <w:sz w:val="23"/>
          <w:szCs w:val="23"/>
        </w:rPr>
      </w:pPr>
    </w:p>
    <w:p w14:paraId="41E5C276" w14:textId="26620029" w:rsidR="00C25D65" w:rsidRDefault="00C25D65" w:rsidP="007C3607">
      <w:pPr>
        <w:tabs>
          <w:tab w:val="left" w:pos="7179"/>
        </w:tabs>
        <w:rPr>
          <w:rFonts w:ascii="ZapfCalligr BT" w:hAnsi="ZapfCalligr BT"/>
          <w:sz w:val="23"/>
          <w:szCs w:val="23"/>
        </w:rPr>
      </w:pPr>
    </w:p>
    <w:p w14:paraId="18ACEFD3" w14:textId="3D793DB4" w:rsidR="00C25D65" w:rsidRDefault="00C25D65" w:rsidP="007C3607">
      <w:pPr>
        <w:tabs>
          <w:tab w:val="left" w:pos="7179"/>
        </w:tabs>
        <w:rPr>
          <w:rFonts w:ascii="ZapfCalligr BT" w:hAnsi="ZapfCalligr BT"/>
          <w:sz w:val="23"/>
          <w:szCs w:val="23"/>
        </w:rPr>
      </w:pPr>
    </w:p>
    <w:p w14:paraId="6F410A3D" w14:textId="2D32BCEC" w:rsidR="00C25D65" w:rsidRDefault="00C25D65" w:rsidP="007C3607">
      <w:pPr>
        <w:tabs>
          <w:tab w:val="left" w:pos="7179"/>
        </w:tabs>
        <w:rPr>
          <w:rFonts w:ascii="ZapfCalligr BT" w:hAnsi="ZapfCalligr BT"/>
          <w:sz w:val="23"/>
          <w:szCs w:val="23"/>
        </w:rPr>
      </w:pPr>
    </w:p>
    <w:p w14:paraId="0E867FD5" w14:textId="58E2B68A" w:rsidR="00C25D65" w:rsidRDefault="00C25D65" w:rsidP="007C3607">
      <w:pPr>
        <w:tabs>
          <w:tab w:val="left" w:pos="7179"/>
        </w:tabs>
        <w:rPr>
          <w:rFonts w:ascii="ZapfCalligr BT" w:hAnsi="ZapfCalligr BT"/>
          <w:sz w:val="23"/>
          <w:szCs w:val="23"/>
        </w:rPr>
      </w:pPr>
    </w:p>
    <w:p w14:paraId="0C81B3C3" w14:textId="66D9FB55" w:rsidR="00C25D65" w:rsidRDefault="00C25D65" w:rsidP="007C3607">
      <w:pPr>
        <w:tabs>
          <w:tab w:val="left" w:pos="7179"/>
        </w:tabs>
        <w:rPr>
          <w:rFonts w:ascii="ZapfCalligr BT" w:hAnsi="ZapfCalligr BT"/>
          <w:sz w:val="23"/>
          <w:szCs w:val="23"/>
        </w:rPr>
      </w:pPr>
    </w:p>
    <w:p w14:paraId="538BCE42" w14:textId="3574A6C6" w:rsidR="00C25D65" w:rsidRDefault="00C25D65" w:rsidP="007C3607">
      <w:pPr>
        <w:tabs>
          <w:tab w:val="left" w:pos="7179"/>
        </w:tabs>
        <w:rPr>
          <w:rFonts w:ascii="ZapfCalligr BT" w:hAnsi="ZapfCalligr BT"/>
          <w:sz w:val="23"/>
          <w:szCs w:val="23"/>
        </w:rPr>
      </w:pPr>
    </w:p>
    <w:p w14:paraId="572EC9E1" w14:textId="39038F4F" w:rsidR="00C25D65" w:rsidRDefault="00C25D65" w:rsidP="007C3607">
      <w:pPr>
        <w:tabs>
          <w:tab w:val="left" w:pos="7179"/>
        </w:tabs>
        <w:rPr>
          <w:rFonts w:ascii="ZapfCalligr BT" w:hAnsi="ZapfCalligr BT"/>
          <w:sz w:val="23"/>
          <w:szCs w:val="23"/>
        </w:rPr>
      </w:pPr>
    </w:p>
    <w:p w14:paraId="589DA9FB" w14:textId="338EEBAF" w:rsidR="00C25D65" w:rsidRDefault="00C25D65" w:rsidP="007C3607">
      <w:pPr>
        <w:tabs>
          <w:tab w:val="left" w:pos="7179"/>
        </w:tabs>
        <w:rPr>
          <w:rFonts w:ascii="ZapfCalligr BT" w:hAnsi="ZapfCalligr BT"/>
          <w:sz w:val="23"/>
          <w:szCs w:val="23"/>
        </w:rPr>
      </w:pPr>
    </w:p>
    <w:p w14:paraId="0CF468D3" w14:textId="17662EBC" w:rsidR="00C25D65" w:rsidRDefault="00C25D65" w:rsidP="007C3607">
      <w:pPr>
        <w:tabs>
          <w:tab w:val="left" w:pos="7179"/>
        </w:tabs>
        <w:rPr>
          <w:rFonts w:ascii="ZapfCalligr BT" w:hAnsi="ZapfCalligr BT"/>
          <w:sz w:val="23"/>
          <w:szCs w:val="23"/>
        </w:rPr>
      </w:pPr>
    </w:p>
    <w:p w14:paraId="461BB218" w14:textId="2F8C2DB8" w:rsidR="00C25D65" w:rsidRDefault="00C25D65" w:rsidP="007C3607">
      <w:pPr>
        <w:tabs>
          <w:tab w:val="left" w:pos="7179"/>
        </w:tabs>
        <w:rPr>
          <w:rFonts w:ascii="ZapfCalligr BT" w:hAnsi="ZapfCalligr BT"/>
          <w:sz w:val="23"/>
          <w:szCs w:val="23"/>
        </w:rPr>
      </w:pPr>
    </w:p>
    <w:p w14:paraId="2FC2AE02" w14:textId="5A9A451D" w:rsidR="00C25D65" w:rsidRDefault="00C25D65" w:rsidP="007C3607">
      <w:pPr>
        <w:tabs>
          <w:tab w:val="left" w:pos="7179"/>
        </w:tabs>
        <w:rPr>
          <w:rFonts w:ascii="ZapfCalligr BT" w:hAnsi="ZapfCalligr BT"/>
          <w:sz w:val="23"/>
          <w:szCs w:val="23"/>
        </w:rPr>
      </w:pPr>
    </w:p>
    <w:p w14:paraId="6B5A40D3" w14:textId="0075CFF3" w:rsidR="00C25D65" w:rsidRDefault="00C25D65" w:rsidP="007C3607">
      <w:pPr>
        <w:tabs>
          <w:tab w:val="left" w:pos="7179"/>
        </w:tabs>
        <w:rPr>
          <w:rFonts w:ascii="ZapfCalligr BT" w:hAnsi="ZapfCalligr BT"/>
          <w:sz w:val="23"/>
          <w:szCs w:val="23"/>
        </w:rPr>
      </w:pPr>
    </w:p>
    <w:p w14:paraId="42B742F7" w14:textId="0B90E596" w:rsidR="00C25D65" w:rsidRDefault="00C25D65" w:rsidP="007C3607">
      <w:pPr>
        <w:tabs>
          <w:tab w:val="left" w:pos="7179"/>
        </w:tabs>
        <w:rPr>
          <w:rFonts w:ascii="ZapfCalligr BT" w:hAnsi="ZapfCalligr BT"/>
          <w:sz w:val="23"/>
          <w:szCs w:val="23"/>
        </w:rPr>
      </w:pPr>
    </w:p>
    <w:p w14:paraId="50C460FE" w14:textId="77777777" w:rsidR="00C25D65" w:rsidRPr="008D0BE0" w:rsidRDefault="00C25D65" w:rsidP="007C3607">
      <w:pPr>
        <w:tabs>
          <w:tab w:val="left" w:pos="7179"/>
        </w:tabs>
        <w:rPr>
          <w:rFonts w:ascii="ZapfCalligr BT" w:hAnsi="ZapfCalligr BT"/>
          <w:sz w:val="23"/>
          <w:szCs w:val="23"/>
        </w:rPr>
      </w:pPr>
    </w:p>
    <w:sectPr w:rsidR="00C25D65" w:rsidRPr="008D0BE0" w:rsidSect="00E638E9">
      <w:headerReference w:type="default" r:id="rId8"/>
      <w:footerReference w:type="default" r:id="rId9"/>
      <w:headerReference w:type="first" r:id="rId10"/>
      <w:footerReference w:type="first" r:id="rId11"/>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4003" w14:textId="77777777" w:rsidR="00BF376A" w:rsidRDefault="00BF376A" w:rsidP="008C1FF1">
      <w:r>
        <w:separator/>
      </w:r>
    </w:p>
  </w:endnote>
  <w:endnote w:type="continuationSeparator" w:id="0">
    <w:p w14:paraId="32898F06" w14:textId="77777777" w:rsidR="00BF376A" w:rsidRDefault="00BF376A" w:rsidP="008C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charset w:val="00"/>
    <w:family w:val="auto"/>
    <w:pitch w:val="variable"/>
    <w:sig w:usb0="60000287" w:usb1="00000001" w:usb2="00000000" w:usb3="00000000" w:csb0="0000019F" w:csb1="00000000"/>
  </w:font>
  <w:font w:name="ZapfCalligr BT">
    <w:panose1 w:val="020405020505050309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rogram Nar OT">
    <w:altName w:val="Franklin Gothic Medium Cond"/>
    <w:charset w:val="00"/>
    <w:family w:val="auto"/>
    <w:pitch w:val="variable"/>
    <w:sig w:usb0="00000003" w:usb1="00000001" w:usb2="00000000" w:usb3="00000000" w:csb0="00000001" w:csb1="00000000"/>
  </w:font>
  <w:font w:name="ProgramNarOT-Regular">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ProgramNarOT-Medium">
    <w:charset w:val="00"/>
    <w:family w:val="auto"/>
    <w:pitch w:val="variable"/>
    <w:sig w:usb0="00000003" w:usb1="00000001" w:usb2="00000000" w:usb3="00000000" w:csb0="00000001" w:csb1="00000000"/>
  </w:font>
  <w:font w:name="Program Nar OT Medium">
    <w:altName w:val="Franklin Gothic Medium Cond"/>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F173" w14:textId="77777777" w:rsidR="00BF376A" w:rsidRDefault="00BF376A" w:rsidP="002B15A7">
    <w:pPr>
      <w:pStyle w:val="BasicParagraph"/>
      <w:spacing w:line="240" w:lineRule="auto"/>
      <w:jc w:val="center"/>
      <w:rPr>
        <w:rFonts w:ascii="Program Nar OT" w:hAnsi="Program Nar OT" w:cs="ProgramNarOT-Regular"/>
        <w:caps/>
        <w:color w:val="44546A" w:themeColor="text2"/>
        <w:spacing w:val="22"/>
        <w:sz w:val="26"/>
        <w:szCs w:val="26"/>
      </w:rPr>
    </w:pPr>
  </w:p>
  <w:p w14:paraId="7489E056" w14:textId="75D4C777" w:rsidR="00BF376A" w:rsidRPr="00E638E9" w:rsidRDefault="00BF376A" w:rsidP="00E638E9">
    <w:pPr>
      <w:pStyle w:val="BasicParagraph"/>
      <w:spacing w:line="360" w:lineRule="auto"/>
      <w:jc w:val="center"/>
      <w:rPr>
        <w:rFonts w:ascii="Program Nar OT" w:hAnsi="Program Nar OT" w:cs="ProgramNarOT-Regular"/>
        <w:caps/>
        <w:color w:val="44546A" w:themeColor="text2"/>
        <w:spacing w:val="22"/>
        <w:sz w:val="22"/>
        <w:szCs w:val="22"/>
      </w:rPr>
    </w:pPr>
    <w:proofErr w:type="gramStart"/>
    <w:r w:rsidRPr="00E638E9">
      <w:rPr>
        <w:rFonts w:ascii="Program Nar OT" w:hAnsi="Program Nar OT" w:cs="ProgramNarOT-Regular"/>
        <w:caps/>
        <w:color w:val="44546A" w:themeColor="text2"/>
        <w:spacing w:val="22"/>
        <w:sz w:val="22"/>
        <w:szCs w:val="22"/>
      </w:rPr>
      <w:t>aspen  |</w:t>
    </w:r>
    <w:proofErr w:type="gramEnd"/>
    <w:r w:rsidRPr="00E638E9">
      <w:rPr>
        <w:rFonts w:ascii="Program Nar OT" w:hAnsi="Program Nar OT" w:cs="ProgramNarOT-Regular"/>
        <w:caps/>
        <w:color w:val="44546A" w:themeColor="text2"/>
        <w:spacing w:val="22"/>
        <w:sz w:val="22"/>
        <w:szCs w:val="22"/>
      </w:rPr>
      <w:t xml:space="preserve">  basalt  |  glenwood springs   |   LAMAR   |   </w:t>
    </w:r>
    <w:r>
      <w:rPr>
        <w:rFonts w:ascii="Program Nar OT" w:hAnsi="Program Nar OT" w:cs="ProgramNarOT-Regular"/>
        <w:caps/>
        <w:color w:val="44546A" w:themeColor="text2"/>
        <w:spacing w:val="22"/>
        <w:sz w:val="22"/>
        <w:szCs w:val="22"/>
      </w:rPr>
      <w:t>buena vista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1C09" w14:textId="13081CB0" w:rsidR="00BF376A" w:rsidRPr="00E638E9" w:rsidRDefault="00BF376A" w:rsidP="00BF3A6E">
    <w:pPr>
      <w:pStyle w:val="BasicParagraph"/>
      <w:spacing w:line="360" w:lineRule="auto"/>
      <w:jc w:val="center"/>
      <w:rPr>
        <w:rFonts w:ascii="Program Nar OT" w:hAnsi="Program Nar OT" w:cs="ProgramNarOT-Regular"/>
        <w:caps/>
        <w:color w:val="44546A" w:themeColor="text2"/>
        <w:spacing w:val="22"/>
        <w:sz w:val="22"/>
        <w:szCs w:val="22"/>
      </w:rPr>
    </w:pPr>
    <w:proofErr w:type="gramStart"/>
    <w:r w:rsidRPr="00E638E9">
      <w:rPr>
        <w:rFonts w:ascii="Program Nar OT" w:hAnsi="Program Nar OT" w:cs="ProgramNarOT-Regular"/>
        <w:caps/>
        <w:color w:val="44546A" w:themeColor="text2"/>
        <w:spacing w:val="22"/>
        <w:sz w:val="22"/>
        <w:szCs w:val="22"/>
      </w:rPr>
      <w:t>aspen  |</w:t>
    </w:r>
    <w:proofErr w:type="gramEnd"/>
    <w:r w:rsidRPr="00E638E9">
      <w:rPr>
        <w:rFonts w:ascii="Program Nar OT" w:hAnsi="Program Nar OT" w:cs="ProgramNarOT-Regular"/>
        <w:caps/>
        <w:color w:val="44546A" w:themeColor="text2"/>
        <w:spacing w:val="22"/>
        <w:sz w:val="22"/>
        <w:szCs w:val="22"/>
      </w:rPr>
      <w:t xml:space="preserve">  basalt  |  glenwood springs   |   LAMAR   |   </w:t>
    </w:r>
    <w:r>
      <w:rPr>
        <w:rFonts w:ascii="Program Nar OT" w:hAnsi="Program Nar OT" w:cs="ProgramNarOT-Regular"/>
        <w:caps/>
        <w:color w:val="44546A" w:themeColor="text2"/>
        <w:spacing w:val="22"/>
        <w:sz w:val="22"/>
        <w:szCs w:val="22"/>
      </w:rPr>
      <w:t>buena vista</w:t>
    </w:r>
  </w:p>
  <w:p w14:paraId="093E427A" w14:textId="77777777" w:rsidR="00BF376A" w:rsidRDefault="00BF376A" w:rsidP="00C25D65">
    <w:pPr>
      <w:widowControl w:val="0"/>
      <w:autoSpaceDE w:val="0"/>
      <w:autoSpaceDN w:val="0"/>
      <w:adjustRightInd w:val="0"/>
      <w:spacing w:line="288" w:lineRule="auto"/>
      <w:jc w:val="center"/>
      <w:rPr>
        <w:rFonts w:ascii="Program Nar OT" w:hAnsi="Program Nar OT" w:cs="ProgramNarOT-Medium"/>
        <w:color w:val="44546A" w:themeColor="text2"/>
        <w:spacing w:val="7"/>
        <w:sz w:val="22"/>
        <w:szCs w:val="22"/>
      </w:rPr>
    </w:pPr>
    <w:r w:rsidRPr="00E638E9">
      <w:rPr>
        <w:rFonts w:ascii="Program Nar OT" w:hAnsi="Program Nar OT" w:cs="Arial"/>
        <w:color w:val="44546A" w:themeColor="text2"/>
        <w:sz w:val="22"/>
        <w:szCs w:val="22"/>
      </w:rPr>
      <w:t xml:space="preserve">Post Office Box 790  </w:t>
    </w:r>
    <w:r w:rsidRPr="00E638E9">
      <w:rPr>
        <w:rFonts w:ascii="Program Nar OT" w:hAnsi="Program Nar OT" w:cs="Arial"/>
        <w:color w:val="808080" w:themeColor="background1" w:themeShade="80"/>
        <w:sz w:val="22"/>
        <w:szCs w:val="22"/>
      </w:rPr>
      <w:t xml:space="preserve"> |  </w:t>
    </w:r>
    <w:r w:rsidRPr="00E638E9">
      <w:rPr>
        <w:rFonts w:ascii="Program Nar OT" w:hAnsi="Program Nar OT" w:cs="Arial"/>
        <w:color w:val="44546A" w:themeColor="text2"/>
        <w:sz w:val="22"/>
        <w:szCs w:val="22"/>
      </w:rPr>
      <w:t xml:space="preserve"> Glenwood Springs, Colorado 81602   </w:t>
    </w:r>
    <w:r w:rsidRPr="00E638E9">
      <w:rPr>
        <w:rFonts w:ascii="Program Nar OT" w:hAnsi="Program Nar OT" w:cs="Arial"/>
        <w:color w:val="808080" w:themeColor="background1" w:themeShade="80"/>
        <w:sz w:val="22"/>
        <w:szCs w:val="22"/>
      </w:rPr>
      <w:t xml:space="preserve">|  </w:t>
    </w:r>
    <w:r w:rsidRPr="00E638E9">
      <w:rPr>
        <w:rFonts w:ascii="Program Nar OT" w:hAnsi="Program Nar OT" w:cs="Arial"/>
        <w:color w:val="44546A" w:themeColor="text2"/>
        <w:sz w:val="22"/>
        <w:szCs w:val="22"/>
      </w:rPr>
      <w:t xml:space="preserve"> </w:t>
    </w:r>
    <w:proofErr w:type="gramStart"/>
    <w:r w:rsidRPr="00E638E9">
      <w:rPr>
        <w:rFonts w:ascii="Program Nar OT" w:hAnsi="Program Nar OT" w:cs="Arial"/>
        <w:color w:val="44546A" w:themeColor="text2"/>
        <w:sz w:val="22"/>
        <w:szCs w:val="22"/>
      </w:rPr>
      <w:t xml:space="preserve">800.836.5928  </w:t>
    </w:r>
    <w:r w:rsidRPr="00E638E9">
      <w:rPr>
        <w:rFonts w:ascii="Program Nar OT" w:hAnsi="Program Nar OT" w:cs="Arial"/>
        <w:color w:val="808080" w:themeColor="background1" w:themeShade="80"/>
        <w:sz w:val="22"/>
        <w:szCs w:val="22"/>
      </w:rPr>
      <w:t>|</w:t>
    </w:r>
    <w:proofErr w:type="gramEnd"/>
    <w:r w:rsidRPr="00E638E9">
      <w:rPr>
        <w:rFonts w:ascii="Program Nar OT" w:hAnsi="Program Nar OT" w:cs="Arial"/>
        <w:color w:val="808080" w:themeColor="background1" w:themeShade="80"/>
        <w:sz w:val="22"/>
        <w:szCs w:val="22"/>
      </w:rPr>
      <w:t xml:space="preserve">   </w:t>
    </w:r>
    <w:r>
      <w:rPr>
        <w:rFonts w:ascii="Program Nar OT" w:hAnsi="Program Nar OT" w:cs="ProgramNarOT-Medium"/>
        <w:color w:val="44546A" w:themeColor="text2"/>
        <w:spacing w:val="7"/>
        <w:sz w:val="22"/>
        <w:szCs w:val="22"/>
      </w:rPr>
      <w:t>970.945.6546</w:t>
    </w:r>
  </w:p>
  <w:p w14:paraId="51A63B18" w14:textId="703A5791" w:rsidR="00BF376A" w:rsidRPr="00E638E9" w:rsidRDefault="00BF376A" w:rsidP="00C25D65">
    <w:pPr>
      <w:widowControl w:val="0"/>
      <w:autoSpaceDE w:val="0"/>
      <w:autoSpaceDN w:val="0"/>
      <w:adjustRightInd w:val="0"/>
      <w:spacing w:line="288" w:lineRule="auto"/>
      <w:jc w:val="center"/>
      <w:rPr>
        <w:rFonts w:ascii="Program Nar OT" w:hAnsi="Program Nar OT" w:cs="Arial"/>
        <w:color w:val="808080" w:themeColor="background1" w:themeShade="80"/>
        <w:sz w:val="22"/>
        <w:szCs w:val="22"/>
      </w:rPr>
    </w:pPr>
    <w:r w:rsidRPr="00E638E9">
      <w:rPr>
        <w:rFonts w:ascii="Program Nar OT" w:hAnsi="Program Nar OT" w:cs="ProgramNarOT-Medium"/>
        <w:color w:val="44546A" w:themeColor="text2"/>
        <w:spacing w:val="7"/>
        <w:sz w:val="22"/>
        <w:szCs w:val="22"/>
      </w:rPr>
      <w:t xml:space="preserve">  </w:t>
    </w:r>
    <w:r w:rsidRPr="00C25D65">
      <w:rPr>
        <w:rFonts w:ascii="Program Nar OT" w:hAnsi="Program Nar OT" w:cs="ProgramNarOT-Medium"/>
        <w:color w:val="44546A" w:themeColor="text2"/>
        <w:spacing w:val="7"/>
        <w:sz w:val="22"/>
        <w:szCs w:val="22"/>
        <w:u w:val="single"/>
      </w:rPr>
      <w:t>www.</w:t>
    </w:r>
    <w:r w:rsidRPr="00C25D65">
      <w:rPr>
        <w:rFonts w:ascii="Program Nar OT Medium" w:hAnsi="Program Nar OT Medium" w:cs="ProgramNarOT-Medium"/>
        <w:color w:val="44546A" w:themeColor="text2"/>
        <w:spacing w:val="7"/>
        <w:sz w:val="22"/>
        <w:szCs w:val="22"/>
        <w:u w:val="single"/>
      </w:rPr>
      <w:t>BalcombGreen.com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A4BCF" w14:textId="77777777" w:rsidR="00BF376A" w:rsidRDefault="00BF376A" w:rsidP="008C1FF1">
      <w:r>
        <w:separator/>
      </w:r>
    </w:p>
  </w:footnote>
  <w:footnote w:type="continuationSeparator" w:id="0">
    <w:p w14:paraId="788EE583" w14:textId="77777777" w:rsidR="00BF376A" w:rsidRDefault="00BF376A" w:rsidP="008C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804"/>
    </w:tblGrid>
    <w:tr w:rsidR="00BF376A" w:rsidRPr="00805523" w14:paraId="772E8079" w14:textId="77777777" w:rsidTr="00414FE2">
      <w:tc>
        <w:tcPr>
          <w:tcW w:w="4934" w:type="dxa"/>
          <w:vMerge w:val="restart"/>
        </w:tcPr>
        <w:p w14:paraId="5AA76221" w14:textId="67241D62" w:rsidR="00BF376A" w:rsidRDefault="00BF376A" w:rsidP="001A7B85">
          <w:pPr>
            <w:pStyle w:val="Header"/>
            <w:tabs>
              <w:tab w:val="clear" w:pos="9360"/>
              <w:tab w:val="left" w:pos="5455"/>
            </w:tabs>
            <w:rPr>
              <w:sz w:val="22"/>
            </w:rPr>
          </w:pPr>
          <w:r>
            <w:rPr>
              <w:noProof/>
            </w:rPr>
            <w:drawing>
              <wp:inline distT="0" distB="0" distL="0" distR="0" wp14:anchorId="0CB543B1" wp14:editId="3147D6BC">
                <wp:extent cx="3387635" cy="42996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3618909" cy="459323"/>
                        </a:xfrm>
                        <a:prstGeom prst="rect">
                          <a:avLst/>
                        </a:prstGeom>
                      </pic:spPr>
                    </pic:pic>
                  </a:graphicData>
                </a:graphic>
              </wp:inline>
            </w:drawing>
          </w:r>
        </w:p>
        <w:p w14:paraId="6F882E76" w14:textId="16C611AE" w:rsidR="00BF376A" w:rsidRPr="001A7B85" w:rsidRDefault="00BF376A" w:rsidP="001A7B85">
          <w:pPr>
            <w:tabs>
              <w:tab w:val="left" w:pos="494"/>
            </w:tabs>
          </w:pPr>
        </w:p>
      </w:tc>
      <w:tc>
        <w:tcPr>
          <w:tcW w:w="4642" w:type="dxa"/>
          <w:vAlign w:val="center"/>
        </w:tcPr>
        <w:p w14:paraId="343F3058" w14:textId="753A71D1" w:rsidR="00BF376A" w:rsidRPr="001A7B85" w:rsidRDefault="00BF376A" w:rsidP="00BF376A">
          <w:pPr>
            <w:pStyle w:val="Header"/>
            <w:tabs>
              <w:tab w:val="clear" w:pos="9360"/>
              <w:tab w:val="left" w:pos="1512"/>
              <w:tab w:val="left" w:pos="5455"/>
            </w:tabs>
            <w:rPr>
              <w:rFonts w:ascii="ZapfCalligr BT" w:hAnsi="ZapfCalligr BT"/>
              <w:sz w:val="18"/>
              <w:szCs w:val="18"/>
            </w:rPr>
          </w:pPr>
          <w:r>
            <w:rPr>
              <w:rFonts w:ascii="ZapfCalligr BT" w:hAnsi="ZapfCalligr BT"/>
              <w:sz w:val="18"/>
              <w:szCs w:val="18"/>
            </w:rPr>
            <w:tab/>
          </w:r>
          <w:proofErr w:type="spellStart"/>
          <w:r>
            <w:rPr>
              <w:rFonts w:ascii="ZapfCalligr BT" w:hAnsi="ZapfCalligr BT"/>
              <w:sz w:val="18"/>
              <w:szCs w:val="18"/>
            </w:rPr>
            <w:t>YJWCD</w:t>
          </w:r>
          <w:proofErr w:type="spellEnd"/>
          <w:r w:rsidRPr="001A7B85">
            <w:rPr>
              <w:rFonts w:ascii="ZapfCalligr BT" w:hAnsi="ZapfCalligr BT"/>
              <w:sz w:val="18"/>
              <w:szCs w:val="18"/>
            </w:rPr>
            <w:t xml:space="preserve">                        </w:t>
          </w:r>
        </w:p>
      </w:tc>
    </w:tr>
    <w:tr w:rsidR="00BF376A" w14:paraId="38671690" w14:textId="77777777" w:rsidTr="00414FE2">
      <w:tc>
        <w:tcPr>
          <w:tcW w:w="4934" w:type="dxa"/>
          <w:vMerge/>
        </w:tcPr>
        <w:p w14:paraId="4E03A05C" w14:textId="77777777" w:rsidR="00BF376A" w:rsidRDefault="00BF376A" w:rsidP="001A7B85">
          <w:pPr>
            <w:pStyle w:val="Header"/>
            <w:tabs>
              <w:tab w:val="clear" w:pos="9360"/>
              <w:tab w:val="left" w:pos="5455"/>
            </w:tabs>
            <w:rPr>
              <w:noProof/>
              <w:sz w:val="22"/>
            </w:rPr>
          </w:pPr>
        </w:p>
      </w:tc>
      <w:tc>
        <w:tcPr>
          <w:tcW w:w="4642" w:type="dxa"/>
          <w:vAlign w:val="center"/>
        </w:tcPr>
        <w:p w14:paraId="7C2BD3BE" w14:textId="6A261B04" w:rsidR="00BF376A" w:rsidRPr="001A7B85" w:rsidRDefault="00BF376A" w:rsidP="00BF376A">
          <w:pPr>
            <w:pStyle w:val="Header"/>
            <w:tabs>
              <w:tab w:val="clear" w:pos="9360"/>
              <w:tab w:val="left" w:pos="1512"/>
              <w:tab w:val="left" w:pos="5455"/>
            </w:tabs>
            <w:ind w:left="1530"/>
            <w:rPr>
              <w:rFonts w:ascii="ZapfCalligr BT" w:hAnsi="ZapfCalligr BT"/>
              <w:sz w:val="18"/>
              <w:szCs w:val="18"/>
            </w:rPr>
          </w:pPr>
          <w:r>
            <w:rPr>
              <w:rFonts w:ascii="ZapfCalligr BT" w:hAnsi="ZapfCalligr BT"/>
              <w:sz w:val="18"/>
              <w:szCs w:val="18"/>
            </w:rPr>
            <w:t>Water Rights</w:t>
          </w:r>
        </w:p>
      </w:tc>
    </w:tr>
    <w:tr w:rsidR="00BF376A" w:rsidRPr="00805523" w14:paraId="7C44965B" w14:textId="77777777" w:rsidTr="00414FE2">
      <w:tc>
        <w:tcPr>
          <w:tcW w:w="4934" w:type="dxa"/>
          <w:vMerge/>
        </w:tcPr>
        <w:p w14:paraId="65D95393" w14:textId="77777777" w:rsidR="00BF376A" w:rsidRDefault="00BF376A" w:rsidP="001A7B85">
          <w:pPr>
            <w:pStyle w:val="Header"/>
            <w:tabs>
              <w:tab w:val="clear" w:pos="9360"/>
              <w:tab w:val="left" w:pos="5455"/>
            </w:tabs>
          </w:pPr>
        </w:p>
      </w:tc>
      <w:tc>
        <w:tcPr>
          <w:tcW w:w="4642" w:type="dxa"/>
          <w:vAlign w:val="center"/>
        </w:tcPr>
        <w:p w14:paraId="5D681042" w14:textId="5E65CB8C" w:rsidR="00BF376A" w:rsidRPr="001A7B85" w:rsidRDefault="00BF376A" w:rsidP="007C3607">
          <w:pPr>
            <w:pStyle w:val="Header"/>
            <w:tabs>
              <w:tab w:val="clear" w:pos="9360"/>
              <w:tab w:val="left" w:pos="471"/>
              <w:tab w:val="left" w:pos="1521"/>
              <w:tab w:val="left" w:pos="5455"/>
            </w:tabs>
            <w:rPr>
              <w:rFonts w:ascii="ZapfCalligr BT" w:hAnsi="ZapfCalligr BT"/>
              <w:sz w:val="18"/>
              <w:szCs w:val="18"/>
            </w:rPr>
          </w:pPr>
          <w:r>
            <w:rPr>
              <w:rFonts w:ascii="ZapfCalligr BT" w:hAnsi="ZapfCalligr BT"/>
              <w:sz w:val="18"/>
              <w:szCs w:val="18"/>
            </w:rPr>
            <w:tab/>
          </w:r>
          <w:r>
            <w:rPr>
              <w:rFonts w:ascii="ZapfCalligr BT" w:hAnsi="ZapfCalligr BT"/>
              <w:sz w:val="18"/>
              <w:szCs w:val="18"/>
            </w:rPr>
            <w:tab/>
          </w:r>
          <w:r w:rsidRPr="001A7B85">
            <w:rPr>
              <w:rFonts w:ascii="ZapfCalligr BT" w:hAnsi="ZapfCalligr BT"/>
              <w:sz w:val="18"/>
              <w:szCs w:val="18"/>
            </w:rPr>
            <w:fldChar w:fldCharType="begin"/>
          </w:r>
          <w:r w:rsidRPr="001A7B85">
            <w:rPr>
              <w:rFonts w:ascii="ZapfCalligr BT" w:hAnsi="ZapfCalligr BT"/>
              <w:sz w:val="18"/>
              <w:szCs w:val="18"/>
            </w:rPr>
            <w:instrText xml:space="preserve"> DATE  \@ "MMMM d, yyyy"  \* MERGEFORMAT </w:instrText>
          </w:r>
          <w:r w:rsidRPr="001A7B85">
            <w:rPr>
              <w:rFonts w:ascii="ZapfCalligr BT" w:hAnsi="ZapfCalligr BT"/>
              <w:sz w:val="18"/>
              <w:szCs w:val="18"/>
            </w:rPr>
            <w:fldChar w:fldCharType="separate"/>
          </w:r>
          <w:r>
            <w:rPr>
              <w:rFonts w:ascii="ZapfCalligr BT" w:hAnsi="ZapfCalligr BT"/>
              <w:noProof/>
              <w:sz w:val="18"/>
              <w:szCs w:val="18"/>
            </w:rPr>
            <w:t>February 3, 2020</w:t>
          </w:r>
          <w:r w:rsidRPr="001A7B85">
            <w:rPr>
              <w:rFonts w:ascii="ZapfCalligr BT" w:hAnsi="ZapfCalligr BT"/>
              <w:sz w:val="18"/>
              <w:szCs w:val="18"/>
            </w:rPr>
            <w:fldChar w:fldCharType="end"/>
          </w:r>
        </w:p>
      </w:tc>
    </w:tr>
    <w:tr w:rsidR="00BF376A" w:rsidRPr="00805523" w14:paraId="579DF543" w14:textId="77777777" w:rsidTr="001A7B85">
      <w:trPr>
        <w:trHeight w:val="510"/>
      </w:trPr>
      <w:tc>
        <w:tcPr>
          <w:tcW w:w="4934" w:type="dxa"/>
          <w:vMerge/>
        </w:tcPr>
        <w:p w14:paraId="6E490DDA" w14:textId="77777777" w:rsidR="00BF376A" w:rsidRDefault="00BF376A" w:rsidP="001A7B85">
          <w:pPr>
            <w:pStyle w:val="Header"/>
            <w:tabs>
              <w:tab w:val="clear" w:pos="9360"/>
              <w:tab w:val="left" w:pos="5455"/>
            </w:tabs>
          </w:pPr>
        </w:p>
      </w:tc>
      <w:tc>
        <w:tcPr>
          <w:tcW w:w="4642" w:type="dxa"/>
          <w:vAlign w:val="center"/>
        </w:tcPr>
        <w:p w14:paraId="03A55A83" w14:textId="04642556" w:rsidR="00BF376A" w:rsidRPr="001A7B85" w:rsidRDefault="00BF376A" w:rsidP="007C3607">
          <w:pPr>
            <w:pStyle w:val="Header"/>
            <w:tabs>
              <w:tab w:val="clear" w:pos="9360"/>
              <w:tab w:val="left" w:pos="1503"/>
              <w:tab w:val="left" w:pos="5455"/>
            </w:tabs>
            <w:rPr>
              <w:rFonts w:ascii="ZapfCalligr BT" w:hAnsi="ZapfCalligr BT"/>
              <w:sz w:val="18"/>
              <w:szCs w:val="18"/>
            </w:rPr>
          </w:pPr>
          <w:r>
            <w:rPr>
              <w:rFonts w:ascii="ZapfCalligr BT" w:hAnsi="ZapfCalligr BT"/>
              <w:sz w:val="18"/>
              <w:szCs w:val="18"/>
            </w:rPr>
            <w:tab/>
          </w:r>
          <w:r w:rsidRPr="001A7B85">
            <w:rPr>
              <w:rFonts w:ascii="ZapfCalligr BT" w:hAnsi="ZapfCalligr BT"/>
              <w:sz w:val="18"/>
              <w:szCs w:val="18"/>
            </w:rPr>
            <w:t xml:space="preserve">Page </w:t>
          </w:r>
          <w:r w:rsidRPr="001A7B85">
            <w:rPr>
              <w:rFonts w:ascii="ZapfCalligr BT" w:hAnsi="ZapfCalligr BT"/>
              <w:sz w:val="18"/>
              <w:szCs w:val="18"/>
            </w:rPr>
            <w:fldChar w:fldCharType="begin"/>
          </w:r>
          <w:r w:rsidRPr="001A7B85">
            <w:rPr>
              <w:rFonts w:ascii="ZapfCalligr BT" w:hAnsi="ZapfCalligr BT"/>
              <w:sz w:val="18"/>
              <w:szCs w:val="18"/>
            </w:rPr>
            <w:instrText xml:space="preserve"> PAGE   \* MERGEFORMAT </w:instrText>
          </w:r>
          <w:r w:rsidRPr="001A7B85">
            <w:rPr>
              <w:rFonts w:ascii="ZapfCalligr BT" w:hAnsi="ZapfCalligr BT"/>
              <w:sz w:val="18"/>
              <w:szCs w:val="18"/>
            </w:rPr>
            <w:fldChar w:fldCharType="separate"/>
          </w:r>
          <w:r w:rsidR="006A613F">
            <w:rPr>
              <w:rFonts w:ascii="ZapfCalligr BT" w:hAnsi="ZapfCalligr BT"/>
              <w:noProof/>
              <w:sz w:val="18"/>
              <w:szCs w:val="18"/>
            </w:rPr>
            <w:t>3</w:t>
          </w:r>
          <w:r w:rsidRPr="001A7B85">
            <w:rPr>
              <w:rFonts w:ascii="ZapfCalligr BT" w:hAnsi="ZapfCalligr BT"/>
              <w:sz w:val="18"/>
              <w:szCs w:val="18"/>
            </w:rPr>
            <w:fldChar w:fldCharType="end"/>
          </w:r>
          <w:r>
            <w:rPr>
              <w:rFonts w:ascii="ZapfCalligr BT" w:hAnsi="ZapfCalligr BT"/>
              <w:sz w:val="18"/>
              <w:szCs w:val="18"/>
            </w:rPr>
            <w:t xml:space="preserve"> </w:t>
          </w:r>
        </w:p>
        <w:p w14:paraId="798DFFDF" w14:textId="77777777" w:rsidR="00BF376A" w:rsidRPr="001A7B85" w:rsidRDefault="00BF376A" w:rsidP="007C3607">
          <w:pPr>
            <w:pStyle w:val="Header"/>
            <w:tabs>
              <w:tab w:val="clear" w:pos="9360"/>
              <w:tab w:val="left" w:pos="1503"/>
              <w:tab w:val="left" w:pos="5455"/>
            </w:tabs>
            <w:ind w:firstLine="25"/>
            <w:rPr>
              <w:rFonts w:ascii="ZapfCalligr BT" w:hAnsi="ZapfCalligr BT"/>
              <w:sz w:val="18"/>
              <w:szCs w:val="18"/>
            </w:rPr>
          </w:pPr>
          <w:r w:rsidRPr="001A7B85">
            <w:rPr>
              <w:rFonts w:ascii="ZapfCalligr BT" w:hAnsi="ZapfCalligr BT"/>
              <w:sz w:val="18"/>
              <w:szCs w:val="18"/>
            </w:rPr>
            <w:t xml:space="preserve"> </w:t>
          </w:r>
          <w:r w:rsidRPr="001A7B85">
            <w:rPr>
              <w:rFonts w:ascii="ZapfCalligr BT" w:hAnsi="ZapfCalligr BT"/>
              <w:sz w:val="18"/>
              <w:szCs w:val="18"/>
            </w:rPr>
            <w:tab/>
          </w:r>
        </w:p>
      </w:tc>
    </w:tr>
  </w:tbl>
  <w:p w14:paraId="7ED31945" w14:textId="27339E86" w:rsidR="00BF376A" w:rsidRPr="001A7B85" w:rsidRDefault="00BF376A" w:rsidP="001A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F804" w14:textId="02554F0E" w:rsidR="00BF376A" w:rsidRDefault="00BF376A">
    <w:pPr>
      <w:pStyle w:val="Header"/>
    </w:pPr>
    <w:r>
      <w:rPr>
        <w:noProof/>
      </w:rPr>
      <w:drawing>
        <wp:inline distT="0" distB="0" distL="0" distR="0" wp14:anchorId="1DC66D6E" wp14:editId="04FED1B8">
          <wp:extent cx="594360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HOR-Logo-3C-grey.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98A"/>
    <w:multiLevelType w:val="hybridMultilevel"/>
    <w:tmpl w:val="C88C41D2"/>
    <w:lvl w:ilvl="0" w:tplc="D37E246E">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25FB7"/>
    <w:multiLevelType w:val="hybridMultilevel"/>
    <w:tmpl w:val="02FCE92E"/>
    <w:lvl w:ilvl="0" w:tplc="889A252A">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F1"/>
    <w:rsid w:val="0001430F"/>
    <w:rsid w:val="00091D44"/>
    <w:rsid w:val="000A5D18"/>
    <w:rsid w:val="00133672"/>
    <w:rsid w:val="00174B5C"/>
    <w:rsid w:val="001A7B85"/>
    <w:rsid w:val="00205FA3"/>
    <w:rsid w:val="00297AFD"/>
    <w:rsid w:val="002B15A7"/>
    <w:rsid w:val="002E0031"/>
    <w:rsid w:val="00367D86"/>
    <w:rsid w:val="003F22B1"/>
    <w:rsid w:val="00414FE2"/>
    <w:rsid w:val="004D5B34"/>
    <w:rsid w:val="00503452"/>
    <w:rsid w:val="00516879"/>
    <w:rsid w:val="005F0CC7"/>
    <w:rsid w:val="00623BF2"/>
    <w:rsid w:val="006A2C6A"/>
    <w:rsid w:val="006A613F"/>
    <w:rsid w:val="006B1B69"/>
    <w:rsid w:val="006E20D3"/>
    <w:rsid w:val="007155E1"/>
    <w:rsid w:val="007C3607"/>
    <w:rsid w:val="007D66BC"/>
    <w:rsid w:val="008230BB"/>
    <w:rsid w:val="00872D87"/>
    <w:rsid w:val="008A5A1E"/>
    <w:rsid w:val="008C1FF1"/>
    <w:rsid w:val="008D0BE0"/>
    <w:rsid w:val="00A1053F"/>
    <w:rsid w:val="00A33AB5"/>
    <w:rsid w:val="00A41167"/>
    <w:rsid w:val="00A46823"/>
    <w:rsid w:val="00A9587D"/>
    <w:rsid w:val="00AC3C84"/>
    <w:rsid w:val="00B33687"/>
    <w:rsid w:val="00B5026D"/>
    <w:rsid w:val="00B867A9"/>
    <w:rsid w:val="00BF376A"/>
    <w:rsid w:val="00BF3A6E"/>
    <w:rsid w:val="00BF552F"/>
    <w:rsid w:val="00C25D65"/>
    <w:rsid w:val="00C713F1"/>
    <w:rsid w:val="00CC58AC"/>
    <w:rsid w:val="00DA1A09"/>
    <w:rsid w:val="00DA3D45"/>
    <w:rsid w:val="00DB28C3"/>
    <w:rsid w:val="00DC7445"/>
    <w:rsid w:val="00E27EFC"/>
    <w:rsid w:val="00E45299"/>
    <w:rsid w:val="00E532D5"/>
    <w:rsid w:val="00E638E9"/>
    <w:rsid w:val="00EA7891"/>
    <w:rsid w:val="00EF5D3E"/>
    <w:rsid w:val="00F07A9F"/>
    <w:rsid w:val="00FC7C01"/>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CAAB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F1"/>
    <w:pPr>
      <w:tabs>
        <w:tab w:val="center" w:pos="4680"/>
        <w:tab w:val="right" w:pos="9360"/>
      </w:tabs>
    </w:pPr>
  </w:style>
  <w:style w:type="character" w:customStyle="1" w:styleId="HeaderChar">
    <w:name w:val="Header Char"/>
    <w:basedOn w:val="DefaultParagraphFont"/>
    <w:link w:val="Header"/>
    <w:uiPriority w:val="99"/>
    <w:rsid w:val="008C1FF1"/>
  </w:style>
  <w:style w:type="paragraph" w:styleId="Footer">
    <w:name w:val="footer"/>
    <w:basedOn w:val="Normal"/>
    <w:link w:val="FooterChar"/>
    <w:uiPriority w:val="99"/>
    <w:unhideWhenUsed/>
    <w:rsid w:val="008C1FF1"/>
    <w:pPr>
      <w:tabs>
        <w:tab w:val="center" w:pos="4680"/>
        <w:tab w:val="right" w:pos="9360"/>
      </w:tabs>
    </w:pPr>
  </w:style>
  <w:style w:type="character" w:customStyle="1" w:styleId="FooterChar">
    <w:name w:val="Footer Char"/>
    <w:basedOn w:val="DefaultParagraphFont"/>
    <w:link w:val="Footer"/>
    <w:uiPriority w:val="99"/>
    <w:rsid w:val="008C1FF1"/>
  </w:style>
  <w:style w:type="paragraph" w:customStyle="1" w:styleId="BasicParagraph">
    <w:name w:val="[Basic Paragraph]"/>
    <w:basedOn w:val="Normal"/>
    <w:uiPriority w:val="99"/>
    <w:rsid w:val="008C1FF1"/>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8A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687"/>
    <w:rPr>
      <w:color w:val="0563C1" w:themeColor="hyperlink"/>
      <w:u w:val="single"/>
    </w:rPr>
  </w:style>
  <w:style w:type="character" w:styleId="FootnoteReference">
    <w:name w:val="footnote reference"/>
    <w:basedOn w:val="DefaultParagraphFont"/>
    <w:semiHidden/>
    <w:unhideWhenUsed/>
    <w:rsid w:val="00205FA3"/>
    <w:rPr>
      <w:vertAlign w:val="superscript"/>
    </w:rPr>
  </w:style>
  <w:style w:type="paragraph" w:styleId="ListParagraph">
    <w:name w:val="List Paragraph"/>
    <w:basedOn w:val="Normal"/>
    <w:uiPriority w:val="34"/>
    <w:qFormat/>
    <w:rsid w:val="00205FA3"/>
    <w:pPr>
      <w:spacing w:after="200" w:line="276" w:lineRule="auto"/>
      <w:ind w:left="720"/>
      <w:contextualSpacing/>
    </w:pPr>
    <w:rPr>
      <w:rFonts w:ascii="ZapfCalligr BT" w:hAnsi="ZapfCalligr BT"/>
      <w:szCs w:val="22"/>
    </w:rPr>
  </w:style>
  <w:style w:type="paragraph" w:styleId="BalloonText">
    <w:name w:val="Balloon Text"/>
    <w:basedOn w:val="Normal"/>
    <w:link w:val="BalloonTextChar"/>
    <w:uiPriority w:val="99"/>
    <w:semiHidden/>
    <w:unhideWhenUsed/>
    <w:rsid w:val="00E4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EDBDD-9109-442F-8A84-379DE98C0B03}">
  <ds:schemaRefs>
    <ds:schemaRef ds:uri="http://schemas.openxmlformats.org/officeDocument/2006/bibliography"/>
  </ds:schemaRefs>
</ds:datastoreItem>
</file>

<file path=customXml/itemProps2.xml><?xml version="1.0" encoding="utf-8"?>
<ds:datastoreItem xmlns:ds="http://schemas.openxmlformats.org/officeDocument/2006/customXml" ds:itemID="{80920BF7-02A8-464E-8DE1-7E6E9363C0D1}"/>
</file>

<file path=customXml/itemProps3.xml><?xml version="1.0" encoding="utf-8"?>
<ds:datastoreItem xmlns:ds="http://schemas.openxmlformats.org/officeDocument/2006/customXml" ds:itemID="{7D30B0D7-00DB-465B-8A4B-B1B09CBB1A26}"/>
</file>

<file path=customXml/itemProps4.xml><?xml version="1.0" encoding="utf-8"?>
<ds:datastoreItem xmlns:ds="http://schemas.openxmlformats.org/officeDocument/2006/customXml" ds:itemID="{2B9765EE-16AF-405F-B0B6-AA0135ABFB8F}"/>
</file>

<file path=docProps/app.xml><?xml version="1.0" encoding="utf-8"?>
<Properties xmlns="http://schemas.openxmlformats.org/officeDocument/2006/extended-properties" xmlns:vt="http://schemas.openxmlformats.org/officeDocument/2006/docPropsVTypes">
  <Template>9E18D816</Template>
  <TotalTime>259</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alford</dc:creator>
  <cp:keywords/>
  <dc:description/>
  <cp:lastModifiedBy>Scott Grosscup</cp:lastModifiedBy>
  <cp:revision>5</cp:revision>
  <cp:lastPrinted>2020-02-03T22:27:00Z</cp:lastPrinted>
  <dcterms:created xsi:type="dcterms:W3CDTF">2019-12-23T16:42:00Z</dcterms:created>
  <dcterms:modified xsi:type="dcterms:W3CDTF">2020-02-03T23:54:00Z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320400</vt:r8>
  </property>
</Properties>
</file>